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EF" w:rsidRPr="00005509" w:rsidRDefault="00B9178B" w:rsidP="00BE6892">
      <w:pPr>
        <w:jc w:val="center"/>
        <w:rPr>
          <w:b/>
          <w:sz w:val="28"/>
        </w:rPr>
      </w:pPr>
      <w:r>
        <w:rPr>
          <w:b/>
          <w:sz w:val="28"/>
        </w:rPr>
        <w:t xml:space="preserve">Position Description:  </w:t>
      </w:r>
      <w:r w:rsidR="00005509" w:rsidRPr="00005509">
        <w:rPr>
          <w:b/>
          <w:sz w:val="28"/>
        </w:rPr>
        <w:t>Associate Dean</w:t>
      </w:r>
    </w:p>
    <w:p w:rsidR="00005509" w:rsidRPr="00005509" w:rsidRDefault="00005509" w:rsidP="00005509">
      <w:pPr>
        <w:jc w:val="center"/>
        <w:rPr>
          <w:b/>
          <w:sz w:val="28"/>
        </w:rPr>
      </w:pPr>
      <w:r w:rsidRPr="00005509">
        <w:rPr>
          <w:b/>
          <w:sz w:val="28"/>
        </w:rPr>
        <w:t>School of Graduate Studies and Continuing Education</w:t>
      </w:r>
    </w:p>
    <w:p w:rsidR="00005509" w:rsidRDefault="00005509" w:rsidP="00005509">
      <w:pPr>
        <w:jc w:val="center"/>
      </w:pPr>
    </w:p>
    <w:p w:rsidR="00B9178B" w:rsidRDefault="00726A41" w:rsidP="00726A41">
      <w:r>
        <w:t>In general, the role of associate dean in the School of Graduate Studies and Continuing Education (SGSCE) is one that s</w:t>
      </w:r>
      <w:r w:rsidR="00005509">
        <w:t>upport</w:t>
      </w:r>
      <w:r>
        <w:t>s</w:t>
      </w:r>
      <w:r w:rsidR="00005509">
        <w:t xml:space="preserve"> the dean in leadership </w:t>
      </w:r>
      <w:r w:rsidR="00AF6CFA">
        <w:t xml:space="preserve">and capacity-building </w:t>
      </w:r>
      <w:r w:rsidR="00005509">
        <w:t>of sub-units</w:t>
      </w:r>
      <w:r>
        <w:t xml:space="preserve">, </w:t>
      </w:r>
      <w:r w:rsidR="00005509">
        <w:t xml:space="preserve">including Graduate Studies, Continuing Education Services, Summer Session, Winterim, Credit Outreach, </w:t>
      </w:r>
      <w:r w:rsidR="00861768">
        <w:t xml:space="preserve">(Center for Adult and Returning Students?), </w:t>
      </w:r>
      <w:r w:rsidR="00005509">
        <w:t xml:space="preserve">Research and Sponsored Programs, LEARN </w:t>
      </w:r>
      <w:r w:rsidR="00D875E8">
        <w:t xml:space="preserve">(faculty development) </w:t>
      </w:r>
      <w:r w:rsidR="00005509">
        <w:t>Center</w:t>
      </w:r>
      <w:r>
        <w:t xml:space="preserve"> (including academic assessment)</w:t>
      </w:r>
      <w:r w:rsidR="00005509">
        <w:t xml:space="preserve">, </w:t>
      </w:r>
      <w:r w:rsidRPr="00726A41">
        <w:rPr>
          <w:strike/>
        </w:rPr>
        <w:t>University Learning Communities</w:t>
      </w:r>
      <w:r>
        <w:t xml:space="preserve">, </w:t>
      </w:r>
      <w:r w:rsidR="00005509">
        <w:t xml:space="preserve">Domestic Travel Study </w:t>
      </w:r>
      <w:r w:rsidR="00B9178B">
        <w:t>(</w:t>
      </w:r>
      <w:r w:rsidR="00005509">
        <w:t>and Fairhaven Lecture Series).</w:t>
      </w:r>
      <w:r w:rsidR="00E967AD">
        <w:t xml:space="preserve"> </w:t>
      </w:r>
    </w:p>
    <w:p w:rsidR="00B9178B" w:rsidRDefault="00B9178B" w:rsidP="00726A41"/>
    <w:p w:rsidR="00726A41" w:rsidRDefault="00726A41" w:rsidP="00726A41">
      <w:r>
        <w:t>This support includes</w:t>
      </w:r>
      <w:r w:rsidR="00E967AD">
        <w:t>,</w:t>
      </w:r>
      <w:r>
        <w:t xml:space="preserve"> but is not limited to</w:t>
      </w:r>
      <w:r w:rsidR="00951301">
        <w:t xml:space="preserve">: </w:t>
      </w:r>
      <w:r w:rsidR="00E967AD">
        <w:t>serving in a</w:t>
      </w:r>
      <w:r w:rsidR="00951301">
        <w:t>n advisory capacity to the dean;</w:t>
      </w:r>
      <w:r w:rsidR="00E967AD">
        <w:t xml:space="preserve"> assisting with strate</w:t>
      </w:r>
      <w:r w:rsidR="00951301">
        <w:t>gic planning and implementation;</w:t>
      </w:r>
      <w:r w:rsidR="00E967AD">
        <w:t xml:space="preserve"> </w:t>
      </w:r>
      <w:r w:rsidR="00951301">
        <w:t xml:space="preserve">supporting </w:t>
      </w:r>
      <w:r w:rsidR="00495374">
        <w:t>annual goal setting;</w:t>
      </w:r>
      <w:r w:rsidR="00E967AD">
        <w:t xml:space="preserve"> </w:t>
      </w:r>
      <w:r w:rsidR="00AF6CFA">
        <w:t xml:space="preserve">collecting information relevant to SGSCE key performance indicators; engaging in budget oversight and budget planning; personnel recruitment and evaluation; </w:t>
      </w:r>
      <w:r w:rsidR="00951301">
        <w:t>determining regional educational, economic, cultural, and artistic</w:t>
      </w:r>
      <w:r w:rsidR="00BE6892">
        <w:t xml:space="preserve"> </w:t>
      </w:r>
      <w:r w:rsidR="00951301">
        <w:t xml:space="preserve">needs; </w:t>
      </w:r>
      <w:r w:rsidR="00AF6CFA">
        <w:t xml:space="preserve">fostering relationships, collaborations and partnerships with internal and external constituents; </w:t>
      </w:r>
      <w:r w:rsidR="00495374">
        <w:t>engaging in program</w:t>
      </w:r>
      <w:r w:rsidR="00E967AD">
        <w:t xml:space="preserve"> evaluation leading to </w:t>
      </w:r>
      <w:r w:rsidR="00495374">
        <w:t>improved service to key constituencies</w:t>
      </w:r>
      <w:r w:rsidR="005511EA">
        <w:t xml:space="preserve"> of SGSCE</w:t>
      </w:r>
      <w:r w:rsidR="00951301">
        <w:t xml:space="preserve">; </w:t>
      </w:r>
      <w:r w:rsidR="00E967AD">
        <w:t>identif</w:t>
      </w:r>
      <w:r w:rsidR="00951301">
        <w:t>ying and developing new revenue-generating opportunities</w:t>
      </w:r>
      <w:r w:rsidR="00B57A2A">
        <w:t xml:space="preserve"> in credit and non-credit arenas</w:t>
      </w:r>
      <w:r w:rsidR="00951301">
        <w:t>;</w:t>
      </w:r>
      <w:r w:rsidR="00E967AD">
        <w:t xml:space="preserve"> </w:t>
      </w:r>
      <w:r w:rsidR="00495374">
        <w:t>seeking intramural and extramural funding as appropriate</w:t>
      </w:r>
      <w:r w:rsidR="00861768">
        <w:t xml:space="preserve"> to program and project development</w:t>
      </w:r>
      <w:r w:rsidR="00495374">
        <w:t xml:space="preserve">; promoting and supporting regional economic development—particularly in regard to the Whitewater University Technology Park and Innovation Center; </w:t>
      </w:r>
      <w:r>
        <w:t>representing SGSCE a</w:t>
      </w:r>
      <w:r w:rsidR="00E967AD">
        <w:t>t</w:t>
      </w:r>
      <w:r>
        <w:t xml:space="preserve"> various internal and external events</w:t>
      </w:r>
      <w:r w:rsidR="008F65DE">
        <w:t>,</w:t>
      </w:r>
      <w:r w:rsidR="00F40A4B">
        <w:t xml:space="preserve"> </w:t>
      </w:r>
      <w:r w:rsidR="00BE6892">
        <w:t xml:space="preserve">including </w:t>
      </w:r>
      <w:r w:rsidR="00F40A4B">
        <w:t>and UW System meetings</w:t>
      </w:r>
      <w:r w:rsidR="00BE6892">
        <w:t>; and other duties as assigned</w:t>
      </w:r>
      <w:r w:rsidR="008F65DE">
        <w:t xml:space="preserve"> by the dean (and the Provost)</w:t>
      </w:r>
      <w:r>
        <w:t xml:space="preserve">.  </w:t>
      </w:r>
    </w:p>
    <w:p w:rsidR="006D0460" w:rsidRDefault="006D0460" w:rsidP="00726A41"/>
    <w:p w:rsidR="006D0460" w:rsidRDefault="006D0460" w:rsidP="00726A41">
      <w:r>
        <w:t>It is expected that the associate dean will lead efforts to address a number of the strategic initiatives (over the course of next 3-5 years) that follow</w:t>
      </w:r>
      <w:r w:rsidR="001826C5">
        <w:t xml:space="preserve"> (to be negotiated and triaged with the dean)</w:t>
      </w:r>
      <w:r>
        <w:t xml:space="preserve">.  </w:t>
      </w:r>
    </w:p>
    <w:p w:rsidR="00726A41" w:rsidRDefault="00726A41" w:rsidP="006D0460"/>
    <w:p w:rsidR="00D52995" w:rsidRDefault="00861768" w:rsidP="00D52995">
      <w:pPr>
        <w:pStyle w:val="ListParagraph"/>
        <w:numPr>
          <w:ilvl w:val="0"/>
          <w:numId w:val="1"/>
        </w:numPr>
        <w:ind w:left="540" w:hanging="540"/>
      </w:pPr>
      <w:r>
        <w:t xml:space="preserve">School of Graduate Studies </w:t>
      </w:r>
    </w:p>
    <w:p w:rsidR="00EC5814" w:rsidRPr="00D52995" w:rsidRDefault="00EC5814" w:rsidP="00EC5814">
      <w:pPr>
        <w:pStyle w:val="ListParagraph"/>
        <w:numPr>
          <w:ilvl w:val="1"/>
          <w:numId w:val="1"/>
        </w:numPr>
        <w:ind w:left="1080"/>
      </w:pPr>
      <w:r w:rsidRPr="00D52995">
        <w:rPr>
          <w:szCs w:val="24"/>
        </w:rPr>
        <w:t xml:space="preserve">Nurture the development of new academic programs (and the revision of existing programs) in ways that promote program-level entrepreneurship--exploring opportunities for establishing new (self-sustaining) academic programs, and facilitating the conversion of traditional (under-performing) programs to self-sustaining models using credit outreach mechanisms and service-based pricing where appropriate.  </w:t>
      </w:r>
    </w:p>
    <w:p w:rsidR="00EC5814" w:rsidRDefault="00EC5814" w:rsidP="00EC5814">
      <w:pPr>
        <w:pStyle w:val="ListParagraph"/>
        <w:numPr>
          <w:ilvl w:val="1"/>
          <w:numId w:val="1"/>
        </w:numPr>
        <w:ind w:left="1080"/>
      </w:pPr>
      <w:r>
        <w:t>Conduct a comprehensive campus-wide evaluation of the quality of the UW-Whitewater “graduate experience” leading to conclusions about ways in which graduate programming can be improved, and further delineate how the graduate experience differs from the undergraduate experience.  (</w:t>
      </w:r>
      <w:r w:rsidR="00CD52D3">
        <w:t>Per HLC 2006 observation</w:t>
      </w:r>
      <w:r>
        <w:t xml:space="preserve">.)  </w:t>
      </w:r>
    </w:p>
    <w:p w:rsidR="00B57A2A" w:rsidRDefault="00795C3C" w:rsidP="00B57A2A">
      <w:pPr>
        <w:pStyle w:val="ListParagraph"/>
        <w:numPr>
          <w:ilvl w:val="1"/>
          <w:numId w:val="1"/>
        </w:numPr>
        <w:ind w:left="1080"/>
      </w:pPr>
      <w:r>
        <w:t>Enhance</w:t>
      </w:r>
      <w:r w:rsidR="00B57A2A">
        <w:t xml:space="preserve"> recruitment and increase</w:t>
      </w:r>
      <w:r w:rsidR="00890599">
        <w:t xml:space="preserve"> enrollment</w:t>
      </w:r>
      <w:r w:rsidR="00B57A2A">
        <w:t xml:space="preserve"> of mu</w:t>
      </w:r>
      <w:r w:rsidR="00CD52D3">
        <w:t>lticultural graduate students. (Per Growth Agenda.)</w:t>
      </w:r>
    </w:p>
    <w:p w:rsidR="00DE539B" w:rsidRDefault="00D6079F" w:rsidP="00DE539B">
      <w:pPr>
        <w:pStyle w:val="ListParagraph"/>
        <w:numPr>
          <w:ilvl w:val="0"/>
          <w:numId w:val="1"/>
        </w:numPr>
        <w:ind w:left="540" w:hanging="540"/>
      </w:pPr>
      <w:r>
        <w:t xml:space="preserve">Continuing Education Services </w:t>
      </w:r>
    </w:p>
    <w:p w:rsidR="00DE539B" w:rsidRPr="00DE539B" w:rsidRDefault="00DE539B" w:rsidP="00DE539B">
      <w:pPr>
        <w:pStyle w:val="ListParagraph"/>
        <w:numPr>
          <w:ilvl w:val="1"/>
          <w:numId w:val="1"/>
        </w:numPr>
        <w:ind w:left="1080"/>
      </w:pPr>
      <w:r w:rsidRPr="00DE539B">
        <w:rPr>
          <w:szCs w:val="24"/>
        </w:rPr>
        <w:t>Expand opportunities to develop and promote (non-camp) non-credit programming that effectively and profitably utilizes the skills and expertise of UW-W faculty and staff to serve continuing professional development needs at regional, national, and international levels.</w:t>
      </w:r>
    </w:p>
    <w:p w:rsidR="00DE539B" w:rsidRPr="00DE539B" w:rsidRDefault="00DE539B" w:rsidP="00DE539B">
      <w:pPr>
        <w:pStyle w:val="ListParagraph"/>
        <w:numPr>
          <w:ilvl w:val="1"/>
          <w:numId w:val="1"/>
        </w:numPr>
        <w:ind w:left="1080"/>
      </w:pPr>
      <w:r w:rsidRPr="00DE539B">
        <w:rPr>
          <w:szCs w:val="24"/>
        </w:rPr>
        <w:t xml:space="preserve">Work collaboratively with the Alumni Office to facilitate the development of </w:t>
      </w:r>
      <w:r w:rsidR="008F65DE">
        <w:rPr>
          <w:szCs w:val="24"/>
        </w:rPr>
        <w:t>a non-credit program</w:t>
      </w:r>
      <w:r w:rsidRPr="00DE539B">
        <w:rPr>
          <w:szCs w:val="24"/>
        </w:rPr>
        <w:t xml:space="preserve"> that address personal enrichment </w:t>
      </w:r>
      <w:r w:rsidR="008F65DE">
        <w:rPr>
          <w:szCs w:val="24"/>
        </w:rPr>
        <w:t>interests</w:t>
      </w:r>
      <w:r w:rsidRPr="00DE539B">
        <w:rPr>
          <w:szCs w:val="24"/>
        </w:rPr>
        <w:t xml:space="preserve"> </w:t>
      </w:r>
      <w:r w:rsidR="00BF5B17">
        <w:rPr>
          <w:szCs w:val="24"/>
        </w:rPr>
        <w:t xml:space="preserve">of alums in ways that </w:t>
      </w:r>
      <w:r w:rsidR="00EC5814">
        <w:rPr>
          <w:szCs w:val="24"/>
        </w:rPr>
        <w:t>(</w:t>
      </w:r>
      <w:r w:rsidRPr="00DE539B">
        <w:rPr>
          <w:szCs w:val="24"/>
        </w:rPr>
        <w:t>re</w:t>
      </w:r>
      <w:r w:rsidR="00EC5814">
        <w:rPr>
          <w:szCs w:val="24"/>
        </w:rPr>
        <w:t>)</w:t>
      </w:r>
      <w:r w:rsidRPr="00DE539B">
        <w:rPr>
          <w:szCs w:val="24"/>
        </w:rPr>
        <w:t xml:space="preserve">connects </w:t>
      </w:r>
      <w:r w:rsidR="00BF5B17">
        <w:rPr>
          <w:szCs w:val="24"/>
        </w:rPr>
        <w:t>them</w:t>
      </w:r>
      <w:r>
        <w:rPr>
          <w:szCs w:val="24"/>
        </w:rPr>
        <w:t xml:space="preserve"> with the campus.</w:t>
      </w:r>
    </w:p>
    <w:p w:rsidR="00DE539B" w:rsidRDefault="00DE539B" w:rsidP="00DE539B">
      <w:pPr>
        <w:pStyle w:val="ListParagraph"/>
        <w:numPr>
          <w:ilvl w:val="1"/>
          <w:numId w:val="1"/>
        </w:numPr>
        <w:ind w:left="1080"/>
      </w:pPr>
      <w:r w:rsidRPr="00DE539B">
        <w:rPr>
          <w:rFonts w:eastAsia="Calibri" w:cs="Times New Roman"/>
          <w:szCs w:val="24"/>
        </w:rPr>
        <w:t>Identify ways to use credit outreach and non-credit programming to better blend internationalism and multiculturalism, and increase understanding of these commitments as central to university curricular and co-curricular priorities.</w:t>
      </w:r>
    </w:p>
    <w:p w:rsidR="00005509" w:rsidRDefault="00DE539B" w:rsidP="00005509">
      <w:pPr>
        <w:pStyle w:val="ListParagraph"/>
        <w:numPr>
          <w:ilvl w:val="0"/>
          <w:numId w:val="1"/>
        </w:numPr>
        <w:ind w:left="540" w:hanging="540"/>
      </w:pPr>
      <w:r>
        <w:t xml:space="preserve">Credit Outreach, Summer Session, Winterim </w:t>
      </w:r>
    </w:p>
    <w:p w:rsidR="00322A20" w:rsidRDefault="00322A20" w:rsidP="00DE539B">
      <w:pPr>
        <w:pStyle w:val="ListParagraph"/>
        <w:numPr>
          <w:ilvl w:val="1"/>
          <w:numId w:val="1"/>
        </w:numPr>
        <w:ind w:left="1080"/>
      </w:pPr>
      <w:r>
        <w:t xml:space="preserve">Lead a comprehensive evaluation of Summer Session and Winterim in ways that would facilitate more effective delivery (more directly address student needs), improve instructional and non-instructional quality, increase </w:t>
      </w:r>
      <w:r w:rsidR="00633BAB">
        <w:t>enrollment</w:t>
      </w:r>
      <w:r>
        <w:t xml:space="preserve">, and allow for greater flexibility in instructional compensation. </w:t>
      </w:r>
    </w:p>
    <w:p w:rsidR="00633BAB" w:rsidRPr="009F47FD" w:rsidRDefault="00BE6892" w:rsidP="00633BAB">
      <w:pPr>
        <w:pStyle w:val="ListParagraph"/>
        <w:numPr>
          <w:ilvl w:val="1"/>
          <w:numId w:val="1"/>
        </w:numPr>
        <w:ind w:left="1080"/>
      </w:pPr>
      <w:r>
        <w:t xml:space="preserve">Work collaboratively </w:t>
      </w:r>
      <w:r w:rsidR="00633BAB">
        <w:t xml:space="preserve">with </w:t>
      </w:r>
      <w:r>
        <w:t xml:space="preserve">the College and Education </w:t>
      </w:r>
      <w:r w:rsidR="00D05306">
        <w:t xml:space="preserve">to </w:t>
      </w:r>
      <w:r w:rsidR="00BF5B17">
        <w:t xml:space="preserve">identify </w:t>
      </w:r>
      <w:r w:rsidR="00D05306">
        <w:t xml:space="preserve">needs and </w:t>
      </w:r>
      <w:r>
        <w:t xml:space="preserve">challenges </w:t>
      </w:r>
      <w:r w:rsidR="00D05306">
        <w:t xml:space="preserve">of </w:t>
      </w:r>
      <w:r w:rsidR="006A5EFC">
        <w:t xml:space="preserve">K-12 </w:t>
      </w:r>
      <w:r>
        <w:t>students, teachers, and administrators</w:t>
      </w:r>
      <w:r w:rsidR="00D05306">
        <w:t xml:space="preserve"> in schools throughout the reg</w:t>
      </w:r>
      <w:r w:rsidR="00BF5B17">
        <w:t>ion, and develop and deliver credit and non-credit programming relevant to said needs and challenges.</w:t>
      </w:r>
      <w:r w:rsidR="00633BAB">
        <w:t xml:space="preserve">  (</w:t>
      </w:r>
      <w:r w:rsidR="00633BAB">
        <w:rPr>
          <w:szCs w:val="24"/>
        </w:rPr>
        <w:t xml:space="preserve">Assist the College of Education in </w:t>
      </w:r>
      <w:r w:rsidR="00002B4A">
        <w:rPr>
          <w:szCs w:val="24"/>
        </w:rPr>
        <w:t>re-establishing itself as a key resource</w:t>
      </w:r>
      <w:r w:rsidR="00633BAB">
        <w:rPr>
          <w:szCs w:val="24"/>
        </w:rPr>
        <w:t xml:space="preserve"> in the region for K-12 educators and administrators.)</w:t>
      </w:r>
    </w:p>
    <w:p w:rsidR="009E405D" w:rsidRDefault="009E405D" w:rsidP="00633BAB"/>
    <w:p w:rsidR="008F65DE" w:rsidRDefault="00DF6F4F" w:rsidP="00633BAB">
      <w:pPr>
        <w:pStyle w:val="ListParagraph"/>
        <w:numPr>
          <w:ilvl w:val="1"/>
          <w:numId w:val="1"/>
        </w:numPr>
        <w:ind w:left="1080"/>
      </w:pPr>
      <w:r>
        <w:lastRenderedPageBreak/>
        <w:t xml:space="preserve">Develop </w:t>
      </w:r>
      <w:r w:rsidR="00773652">
        <w:t xml:space="preserve">services for assisting UW-W faculty and </w:t>
      </w:r>
      <w:r w:rsidR="00BF5B17">
        <w:t xml:space="preserve">instructional staff converting </w:t>
      </w:r>
      <w:r w:rsidR="00633BAB">
        <w:t xml:space="preserve">and/or designing </w:t>
      </w:r>
      <w:r w:rsidR="00BF5B17">
        <w:t xml:space="preserve">courses for online delivery (in accordance with </w:t>
      </w:r>
      <w:r w:rsidR="00BF5B17" w:rsidRPr="00BF5B17">
        <w:rPr>
          <w:i/>
        </w:rPr>
        <w:t>Quality Matters</w:t>
      </w:r>
      <w:r w:rsidR="00BF5B17">
        <w:t xml:space="preserve"> principles)</w:t>
      </w:r>
      <w:r w:rsidR="00633BAB">
        <w:t xml:space="preserve">, </w:t>
      </w:r>
      <w:r w:rsidR="00BF5B17">
        <w:t>and a process for training ad hoc faculty to effectively deliver these courses</w:t>
      </w:r>
      <w:r w:rsidR="00633BAB">
        <w:t xml:space="preserve"> via credit outreach</w:t>
      </w:r>
      <w:r w:rsidR="00BF5B17">
        <w:t xml:space="preserve">.  </w:t>
      </w:r>
    </w:p>
    <w:p w:rsidR="00DE539B" w:rsidRDefault="00DE539B" w:rsidP="00DE539B">
      <w:pPr>
        <w:pStyle w:val="ListParagraph"/>
        <w:numPr>
          <w:ilvl w:val="0"/>
          <w:numId w:val="1"/>
        </w:numPr>
        <w:ind w:left="540" w:hanging="540"/>
      </w:pPr>
      <w:r>
        <w:t xml:space="preserve">Research and Sponsored Programs </w:t>
      </w:r>
    </w:p>
    <w:p w:rsidR="00DE539B" w:rsidRPr="00DE539B" w:rsidRDefault="00DE539B" w:rsidP="00DE539B">
      <w:pPr>
        <w:pStyle w:val="ListParagraph"/>
        <w:numPr>
          <w:ilvl w:val="1"/>
          <w:numId w:val="1"/>
        </w:numPr>
        <w:ind w:left="1080"/>
      </w:pPr>
      <w:r w:rsidRPr="00DE539B">
        <w:rPr>
          <w:rFonts w:eastAsia="Calibri" w:cs="Times New Roman"/>
          <w:szCs w:val="24"/>
        </w:rPr>
        <w:t>Develop a process for funding, promoting and chronicling the value of expanding applied and community-based research projects, including an identification and evaluation of community impact dimensions.</w:t>
      </w:r>
      <w:r w:rsidRPr="00DE539B">
        <w:rPr>
          <w:szCs w:val="24"/>
        </w:rPr>
        <w:t xml:space="preserve"> </w:t>
      </w:r>
    </w:p>
    <w:p w:rsidR="00DE539B" w:rsidRPr="00DE539B" w:rsidRDefault="00DE539B" w:rsidP="00DE539B">
      <w:pPr>
        <w:pStyle w:val="ListParagraph"/>
        <w:numPr>
          <w:ilvl w:val="1"/>
          <w:numId w:val="1"/>
        </w:numPr>
        <w:ind w:left="1080"/>
      </w:pPr>
      <w:r w:rsidRPr="00DE539B">
        <w:rPr>
          <w:szCs w:val="24"/>
        </w:rPr>
        <w:t>Promote and facilitate technology commercialization, entrepreneurship, intrapreneurship, and economic development in ways that utilize skills and talents of faculty and staff and maximize benefits</w:t>
      </w:r>
      <w:r w:rsidR="00633BAB">
        <w:rPr>
          <w:szCs w:val="24"/>
        </w:rPr>
        <w:t xml:space="preserve"> to the campus and the region. </w:t>
      </w:r>
      <w:r w:rsidR="00E165BE">
        <w:rPr>
          <w:szCs w:val="24"/>
        </w:rPr>
        <w:t>Establish a benchmark for patents?</w:t>
      </w:r>
    </w:p>
    <w:p w:rsidR="00DE539B" w:rsidRPr="008B0882" w:rsidRDefault="00DE539B" w:rsidP="008B0882">
      <w:pPr>
        <w:pStyle w:val="ListParagraph"/>
        <w:numPr>
          <w:ilvl w:val="1"/>
          <w:numId w:val="1"/>
        </w:numPr>
        <w:ind w:left="1080"/>
      </w:pPr>
      <w:r w:rsidRPr="00DE539B">
        <w:rPr>
          <w:rFonts w:eastAsia="Calibri" w:cs="Times New Roman"/>
          <w:szCs w:val="24"/>
        </w:rPr>
        <w:t xml:space="preserve">Provide support and leadership in the launch (January 2011) and long-term success of the Whitewater University Technology Park through the coordination of skills and ideas of UW-W faculty and staff. </w:t>
      </w:r>
    </w:p>
    <w:p w:rsidR="002F71B2" w:rsidRPr="002F71B2" w:rsidRDefault="008B0882" w:rsidP="002F71B2">
      <w:pPr>
        <w:pStyle w:val="ListParagraph"/>
        <w:numPr>
          <w:ilvl w:val="0"/>
          <w:numId w:val="1"/>
        </w:numPr>
        <w:ind w:left="540" w:hanging="540"/>
      </w:pPr>
      <w:r>
        <w:rPr>
          <w:rFonts w:eastAsia="Calibri" w:cs="Times New Roman"/>
          <w:szCs w:val="24"/>
        </w:rPr>
        <w:t xml:space="preserve">Regional Outreach and Engagement </w:t>
      </w:r>
    </w:p>
    <w:p w:rsidR="006F1FA9" w:rsidRDefault="009F47FD" w:rsidP="006F1FA9">
      <w:pPr>
        <w:pStyle w:val="ListParagraph"/>
        <w:numPr>
          <w:ilvl w:val="1"/>
          <w:numId w:val="1"/>
        </w:numPr>
        <w:ind w:left="1080"/>
      </w:pPr>
      <w:r>
        <w:t xml:space="preserve">Assume a leadership role in </w:t>
      </w:r>
      <w:r w:rsidR="0081442F">
        <w:t xml:space="preserve">conceptualizing a method for coordinating </w:t>
      </w:r>
      <w:r w:rsidR="00795C3C">
        <w:t xml:space="preserve">and evaluating </w:t>
      </w:r>
      <w:r w:rsidR="0081442F">
        <w:t xml:space="preserve">the many disparate threads </w:t>
      </w:r>
      <w:r w:rsidR="00E165BE">
        <w:t xml:space="preserve">of </w:t>
      </w:r>
      <w:r w:rsidR="00633BAB">
        <w:t xml:space="preserve">campus-wide </w:t>
      </w:r>
      <w:r w:rsidR="00E165BE">
        <w:t xml:space="preserve">outreach and engagement (ranging from the various Centers on campus to service learning) in a way that helps the campus better </w:t>
      </w:r>
      <w:r w:rsidR="00633BAB">
        <w:t>evaluate</w:t>
      </w:r>
      <w:r w:rsidR="00E165BE">
        <w:t xml:space="preserve"> impact and strategically adjust its focus.  (Per HLC </w:t>
      </w:r>
      <w:r w:rsidR="00CD52D3">
        <w:t>observation</w:t>
      </w:r>
      <w:r w:rsidR="00E165BE">
        <w:t xml:space="preserve"> in 2006).  </w:t>
      </w:r>
    </w:p>
    <w:p w:rsidR="00BF2071" w:rsidRPr="00BF2071" w:rsidRDefault="00633BAB" w:rsidP="006F1FA9">
      <w:pPr>
        <w:pStyle w:val="ListParagraph"/>
        <w:numPr>
          <w:ilvl w:val="1"/>
          <w:numId w:val="1"/>
        </w:numPr>
        <w:ind w:left="1080"/>
      </w:pPr>
      <w:r>
        <w:rPr>
          <w:szCs w:val="24"/>
        </w:rPr>
        <w:t>Seek out</w:t>
      </w:r>
      <w:r w:rsidR="006F1FA9" w:rsidRPr="002F71B2">
        <w:rPr>
          <w:szCs w:val="24"/>
        </w:rPr>
        <w:t xml:space="preserve"> collaborations </w:t>
      </w:r>
      <w:r>
        <w:rPr>
          <w:szCs w:val="24"/>
        </w:rPr>
        <w:t xml:space="preserve">with </w:t>
      </w:r>
      <w:r w:rsidR="006F1FA9" w:rsidRPr="002F71B2">
        <w:rPr>
          <w:szCs w:val="24"/>
        </w:rPr>
        <w:t>area educators generally and school districts in southea</w:t>
      </w:r>
      <w:r w:rsidR="006F1FA9">
        <w:rPr>
          <w:szCs w:val="24"/>
        </w:rPr>
        <w:t>stern Wisconsin specifically</w:t>
      </w:r>
      <w:r w:rsidR="00BF2071">
        <w:rPr>
          <w:szCs w:val="24"/>
        </w:rPr>
        <w:t xml:space="preserve"> through programming and </w:t>
      </w:r>
      <w:r>
        <w:rPr>
          <w:szCs w:val="24"/>
        </w:rPr>
        <w:t>a partnership</w:t>
      </w:r>
      <w:r w:rsidR="00BF2071">
        <w:rPr>
          <w:szCs w:val="24"/>
        </w:rPr>
        <w:t xml:space="preserve"> with CESA2.</w:t>
      </w:r>
    </w:p>
    <w:p w:rsidR="002F71B2" w:rsidRPr="002F71B2" w:rsidRDefault="00D05306" w:rsidP="002F71B2">
      <w:pPr>
        <w:pStyle w:val="ListParagraph"/>
        <w:numPr>
          <w:ilvl w:val="1"/>
          <w:numId w:val="1"/>
        </w:numPr>
        <w:ind w:left="1080"/>
      </w:pPr>
      <w:r>
        <w:rPr>
          <w:szCs w:val="24"/>
        </w:rPr>
        <w:t>Extend and improve</w:t>
      </w:r>
      <w:r w:rsidR="002F71B2">
        <w:rPr>
          <w:szCs w:val="24"/>
        </w:rPr>
        <w:t xml:space="preserve"> the coordination</w:t>
      </w:r>
      <w:r w:rsidR="002F71B2" w:rsidRPr="002F71B2">
        <w:rPr>
          <w:szCs w:val="24"/>
        </w:rPr>
        <w:t xml:space="preserve"> and support </w:t>
      </w:r>
      <w:r w:rsidR="00DF6F4F">
        <w:rPr>
          <w:szCs w:val="24"/>
        </w:rPr>
        <w:t>in sharing</w:t>
      </w:r>
      <w:r w:rsidR="002F71B2" w:rsidRPr="002F71B2">
        <w:rPr>
          <w:szCs w:val="24"/>
        </w:rPr>
        <w:t xml:space="preserve"> institutional resources and expertise with local communities generally, and the City of Whitewater specifically, in ways that promote and endorse life-long learning.</w:t>
      </w:r>
    </w:p>
    <w:p w:rsidR="002F71B2" w:rsidRPr="002F71B2" w:rsidRDefault="002F71B2" w:rsidP="002F71B2">
      <w:pPr>
        <w:pStyle w:val="ListParagraph"/>
        <w:numPr>
          <w:ilvl w:val="1"/>
          <w:numId w:val="1"/>
        </w:numPr>
        <w:ind w:left="1080"/>
      </w:pPr>
      <w:r>
        <w:rPr>
          <w:szCs w:val="24"/>
        </w:rPr>
        <w:t xml:space="preserve">Identify strategies for effectively partnering </w:t>
      </w:r>
      <w:r w:rsidR="00773652">
        <w:rPr>
          <w:szCs w:val="24"/>
        </w:rPr>
        <w:t>with the</w:t>
      </w:r>
      <w:r>
        <w:rPr>
          <w:szCs w:val="24"/>
        </w:rPr>
        <w:t xml:space="preserve"> Whitewater Unified School District in ways that help district schools fulfill their mission</w:t>
      </w:r>
      <w:r w:rsidR="009F47FD">
        <w:rPr>
          <w:szCs w:val="24"/>
        </w:rPr>
        <w:t>s</w:t>
      </w:r>
      <w:r>
        <w:rPr>
          <w:szCs w:val="24"/>
        </w:rPr>
        <w:t xml:space="preserve">.  </w:t>
      </w:r>
    </w:p>
    <w:p w:rsidR="002F71B2" w:rsidRPr="002F71B2" w:rsidRDefault="002F71B2" w:rsidP="002F71B2">
      <w:pPr>
        <w:pStyle w:val="ListParagraph"/>
        <w:numPr>
          <w:ilvl w:val="1"/>
          <w:numId w:val="1"/>
        </w:numPr>
        <w:ind w:left="1080"/>
      </w:pPr>
      <w:r w:rsidRPr="002F71B2">
        <w:rPr>
          <w:rFonts w:eastAsia="Calibri" w:cs="Times New Roman"/>
          <w:szCs w:val="24"/>
        </w:rPr>
        <w:t>Identify and implement strategies to better foster the reputation and visibility of UW-Whitewater as a resource to the region.</w:t>
      </w:r>
      <w:r w:rsidRPr="002F71B2">
        <w:rPr>
          <w:szCs w:val="24"/>
        </w:rPr>
        <w:t xml:space="preserve"> Expand use of digital technologies in improving operational efficiency and creating greater awareness of credit and non-credit programs among internal and external constituencies. </w:t>
      </w:r>
      <w:r>
        <w:rPr>
          <w:szCs w:val="24"/>
        </w:rPr>
        <w:t xml:space="preserve"> Develop a strategic marketing plan for the unit that incorporates such technologies.  </w:t>
      </w:r>
    </w:p>
    <w:p w:rsidR="00EC5814" w:rsidRPr="002F71B2" w:rsidRDefault="002F71B2" w:rsidP="002F71B2">
      <w:pPr>
        <w:pStyle w:val="ListParagraph"/>
        <w:numPr>
          <w:ilvl w:val="1"/>
          <w:numId w:val="1"/>
        </w:numPr>
        <w:ind w:left="1080"/>
      </w:pPr>
      <w:r>
        <w:rPr>
          <w:szCs w:val="24"/>
        </w:rPr>
        <w:t>Significantly expand</w:t>
      </w:r>
      <w:r w:rsidRPr="002F71B2">
        <w:rPr>
          <w:szCs w:val="24"/>
        </w:rPr>
        <w:t xml:space="preserve"> and </w:t>
      </w:r>
      <w:r w:rsidR="00BE6892">
        <w:rPr>
          <w:szCs w:val="24"/>
        </w:rPr>
        <w:t xml:space="preserve">SGSCE </w:t>
      </w:r>
      <w:r w:rsidRPr="002F71B2">
        <w:rPr>
          <w:szCs w:val="24"/>
        </w:rPr>
        <w:t xml:space="preserve">improve efforts at evaluating the impact (economic and otherwise) of programming on the region.  </w:t>
      </w:r>
    </w:p>
    <w:p w:rsidR="008B0882" w:rsidRPr="008B0882" w:rsidRDefault="008B0882" w:rsidP="00EC5814">
      <w:pPr>
        <w:pStyle w:val="ListParagraph"/>
        <w:numPr>
          <w:ilvl w:val="0"/>
          <w:numId w:val="1"/>
        </w:numPr>
        <w:ind w:left="540" w:hanging="540"/>
      </w:pPr>
      <w:r>
        <w:rPr>
          <w:rFonts w:eastAsia="Calibri" w:cs="Times New Roman"/>
          <w:szCs w:val="24"/>
        </w:rPr>
        <w:t xml:space="preserve">Serving Adult and Non-Traditional Student Populations </w:t>
      </w:r>
    </w:p>
    <w:p w:rsidR="008B0882" w:rsidRPr="009F47FD" w:rsidRDefault="00EC5814" w:rsidP="00EC5814">
      <w:pPr>
        <w:pStyle w:val="ListParagraph"/>
        <w:numPr>
          <w:ilvl w:val="1"/>
          <w:numId w:val="1"/>
        </w:numPr>
        <w:ind w:left="1080"/>
      </w:pPr>
      <w:r w:rsidRPr="00EC5814">
        <w:rPr>
          <w:rFonts w:eastAsia="Calibri" w:cs="Times New Roman"/>
          <w:szCs w:val="24"/>
        </w:rPr>
        <w:t xml:space="preserve">Lead the development of an institutional approach to recruiting, matriculating, retaining, and graduating non-traditional student populations through </w:t>
      </w:r>
      <w:r w:rsidR="00CD52D3">
        <w:rPr>
          <w:rFonts w:eastAsia="Calibri" w:cs="Times New Roman"/>
          <w:szCs w:val="24"/>
        </w:rPr>
        <w:t>a campus-wide enhancement</w:t>
      </w:r>
      <w:r w:rsidRPr="00EC5814">
        <w:rPr>
          <w:rFonts w:eastAsia="Calibri" w:cs="Times New Roman"/>
          <w:szCs w:val="24"/>
        </w:rPr>
        <w:t xml:space="preserve"> of services and expansion of curricula and co-curricular programs targeted for non-traditional (particularly adult) students.</w:t>
      </w:r>
      <w:r w:rsidR="00CD52D3">
        <w:rPr>
          <w:rFonts w:eastAsia="Calibri" w:cs="Times New Roman"/>
          <w:szCs w:val="24"/>
        </w:rPr>
        <w:t xml:space="preserve"> (Per Growth Agenda.) </w:t>
      </w:r>
    </w:p>
    <w:p w:rsidR="009F47FD" w:rsidRPr="008F65DE" w:rsidRDefault="009F47FD" w:rsidP="00EC5814">
      <w:pPr>
        <w:pStyle w:val="ListParagraph"/>
        <w:numPr>
          <w:ilvl w:val="1"/>
          <w:numId w:val="1"/>
        </w:numPr>
        <w:ind w:left="1080"/>
      </w:pPr>
      <w:r>
        <w:rPr>
          <w:rFonts w:eastAsia="Calibri" w:cs="Times New Roman"/>
          <w:szCs w:val="24"/>
        </w:rPr>
        <w:t xml:space="preserve">Initiate the start-up of the Center for Adult and Returning Students (CARS).  </w:t>
      </w:r>
    </w:p>
    <w:p w:rsidR="008F65DE" w:rsidRPr="00EC5814" w:rsidRDefault="008F65DE" w:rsidP="00EC5814">
      <w:pPr>
        <w:pStyle w:val="ListParagraph"/>
        <w:numPr>
          <w:ilvl w:val="1"/>
          <w:numId w:val="1"/>
        </w:numPr>
        <w:ind w:left="1080"/>
      </w:pPr>
      <w:r>
        <w:rPr>
          <w:rFonts w:eastAsia="Calibri" w:cs="Times New Roman"/>
          <w:szCs w:val="24"/>
        </w:rPr>
        <w:t xml:space="preserve">Develop </w:t>
      </w:r>
      <w:r w:rsidR="00CD52D3">
        <w:rPr>
          <w:rFonts w:eastAsia="Calibri" w:cs="Times New Roman"/>
          <w:szCs w:val="24"/>
        </w:rPr>
        <w:t>“</w:t>
      </w:r>
      <w:r>
        <w:rPr>
          <w:rFonts w:eastAsia="Calibri" w:cs="Times New Roman"/>
          <w:szCs w:val="24"/>
        </w:rPr>
        <w:t>dual credit</w:t>
      </w:r>
      <w:r w:rsidR="00CD52D3">
        <w:rPr>
          <w:rFonts w:eastAsia="Calibri" w:cs="Times New Roman"/>
          <w:szCs w:val="24"/>
        </w:rPr>
        <w:t>”</w:t>
      </w:r>
      <w:r>
        <w:rPr>
          <w:rFonts w:eastAsia="Calibri" w:cs="Times New Roman"/>
          <w:szCs w:val="24"/>
        </w:rPr>
        <w:t xml:space="preserve"> programming </w:t>
      </w:r>
      <w:r w:rsidR="00BF2071">
        <w:rPr>
          <w:rFonts w:eastAsia="Calibri" w:cs="Times New Roman"/>
          <w:szCs w:val="24"/>
        </w:rPr>
        <w:t xml:space="preserve">and protocols </w:t>
      </w:r>
      <w:r>
        <w:rPr>
          <w:rFonts w:eastAsia="Calibri" w:cs="Times New Roman"/>
          <w:szCs w:val="24"/>
        </w:rPr>
        <w:t>that expand the university</w:t>
      </w:r>
      <w:r w:rsidR="00BF2071">
        <w:rPr>
          <w:rFonts w:eastAsia="Calibri" w:cs="Times New Roman"/>
          <w:szCs w:val="24"/>
        </w:rPr>
        <w:t xml:space="preserve">’s capacity to </w:t>
      </w:r>
      <w:r>
        <w:rPr>
          <w:rFonts w:eastAsia="Calibri" w:cs="Times New Roman"/>
          <w:szCs w:val="24"/>
        </w:rPr>
        <w:t xml:space="preserve">provide credit programming to </w:t>
      </w:r>
      <w:r w:rsidR="00CD52D3">
        <w:rPr>
          <w:rFonts w:eastAsia="Calibri" w:cs="Times New Roman"/>
          <w:szCs w:val="24"/>
        </w:rPr>
        <w:t>college-</w:t>
      </w:r>
      <w:r w:rsidR="00BF2071">
        <w:rPr>
          <w:rFonts w:eastAsia="Calibri" w:cs="Times New Roman"/>
          <w:szCs w:val="24"/>
        </w:rPr>
        <w:t>bound</w:t>
      </w:r>
      <w:r>
        <w:rPr>
          <w:rFonts w:eastAsia="Calibri" w:cs="Times New Roman"/>
          <w:szCs w:val="24"/>
        </w:rPr>
        <w:t xml:space="preserve"> juniors and seniors in area high schools.  </w:t>
      </w:r>
      <w:r w:rsidR="00CD52D3">
        <w:rPr>
          <w:rFonts w:eastAsia="Calibri" w:cs="Times New Roman"/>
          <w:szCs w:val="24"/>
        </w:rPr>
        <w:t xml:space="preserve">(Per Growth Agenda.) </w:t>
      </w:r>
    </w:p>
    <w:p w:rsidR="009F47FD" w:rsidRDefault="00EC5814" w:rsidP="009F47FD">
      <w:pPr>
        <w:pStyle w:val="ListParagraph"/>
        <w:numPr>
          <w:ilvl w:val="0"/>
          <w:numId w:val="1"/>
        </w:numPr>
        <w:ind w:left="540" w:hanging="540"/>
      </w:pPr>
      <w:r>
        <w:t>Support Capacity Building of University</w:t>
      </w:r>
    </w:p>
    <w:p w:rsidR="006A5EFC" w:rsidRDefault="006A5EFC" w:rsidP="006A5EFC">
      <w:pPr>
        <w:pStyle w:val="ListParagraph"/>
        <w:numPr>
          <w:ilvl w:val="1"/>
          <w:numId w:val="1"/>
        </w:numPr>
        <w:ind w:left="1080"/>
      </w:pPr>
      <w:r>
        <w:t xml:space="preserve">Explore the opportunity and, as allowable in accordance with UW System policy, facilitate the expansion of the graduate instructional assistantship program in ways that bolster enrollment and support more efficient use of UW-W instructional resources.  </w:t>
      </w:r>
    </w:p>
    <w:p w:rsidR="009F47FD" w:rsidRPr="00BE6892" w:rsidRDefault="009F47FD" w:rsidP="009F47FD">
      <w:pPr>
        <w:pStyle w:val="ListParagraph"/>
        <w:numPr>
          <w:ilvl w:val="1"/>
          <w:numId w:val="1"/>
        </w:numPr>
        <w:ind w:left="1080"/>
      </w:pPr>
      <w:r>
        <w:rPr>
          <w:szCs w:val="24"/>
        </w:rPr>
        <w:t xml:space="preserve">Develop a </w:t>
      </w:r>
      <w:r w:rsidR="006A5EFC">
        <w:rPr>
          <w:szCs w:val="24"/>
        </w:rPr>
        <w:t>protocol</w:t>
      </w:r>
      <w:r>
        <w:rPr>
          <w:szCs w:val="24"/>
        </w:rPr>
        <w:t xml:space="preserve"> for </w:t>
      </w:r>
      <w:r w:rsidR="009E405D">
        <w:rPr>
          <w:szCs w:val="24"/>
        </w:rPr>
        <w:t xml:space="preserve">systematically </w:t>
      </w:r>
      <w:r>
        <w:rPr>
          <w:szCs w:val="24"/>
        </w:rPr>
        <w:t>sharing</w:t>
      </w:r>
      <w:r w:rsidRPr="009F47FD">
        <w:rPr>
          <w:szCs w:val="24"/>
        </w:rPr>
        <w:t xml:space="preserve"> program </w:t>
      </w:r>
      <w:r w:rsidR="006A5EFC">
        <w:rPr>
          <w:szCs w:val="24"/>
        </w:rPr>
        <w:t xml:space="preserve">credit outreach tuition </w:t>
      </w:r>
      <w:r w:rsidRPr="009F47FD">
        <w:rPr>
          <w:szCs w:val="24"/>
        </w:rPr>
        <w:t>revenues in responsible and strategic ways that assist colleges, divisions, and the institution in fulfilling its outreach and engagement mission.</w:t>
      </w:r>
    </w:p>
    <w:p w:rsidR="00BE6892" w:rsidRPr="009F47FD" w:rsidRDefault="00BE6892" w:rsidP="009F47FD">
      <w:pPr>
        <w:pStyle w:val="ListParagraph"/>
        <w:numPr>
          <w:ilvl w:val="1"/>
          <w:numId w:val="1"/>
        </w:numPr>
        <w:ind w:left="1080"/>
      </w:pPr>
      <w:r>
        <w:rPr>
          <w:szCs w:val="24"/>
        </w:rPr>
        <w:t xml:space="preserve">Continue to provide leadership </w:t>
      </w:r>
      <w:r w:rsidR="00795C3C">
        <w:rPr>
          <w:szCs w:val="24"/>
        </w:rPr>
        <w:t xml:space="preserve">with the Academic Transformation program, assisting departments in all four colleges explore how to more effectively deploy instructional resources to improve student learning.  </w:t>
      </w:r>
    </w:p>
    <w:p w:rsidR="009F47FD" w:rsidRPr="009F47FD" w:rsidRDefault="009F47FD" w:rsidP="009F47FD">
      <w:pPr>
        <w:pStyle w:val="ListParagraph"/>
        <w:numPr>
          <w:ilvl w:val="1"/>
          <w:numId w:val="1"/>
        </w:numPr>
        <w:ind w:left="1080"/>
      </w:pPr>
      <w:r w:rsidRPr="009F47FD">
        <w:rPr>
          <w:rFonts w:eastAsia="Calibri" w:cs="Times New Roman"/>
          <w:szCs w:val="24"/>
        </w:rPr>
        <w:t>Provide leadership in campus-wide efforts to assess the extent to which we are perceived to be student and/or client oriented, as we claim.</w:t>
      </w:r>
      <w:r w:rsidR="009E405D">
        <w:rPr>
          <w:rFonts w:eastAsia="Calibri" w:cs="Times New Roman"/>
          <w:szCs w:val="24"/>
        </w:rPr>
        <w:t xml:space="preserve">  (Per strategic plan and attending goals.) </w:t>
      </w:r>
    </w:p>
    <w:p w:rsidR="00005509" w:rsidRDefault="009F47FD" w:rsidP="00773652">
      <w:pPr>
        <w:pStyle w:val="ListParagraph"/>
        <w:numPr>
          <w:ilvl w:val="1"/>
          <w:numId w:val="1"/>
        </w:numPr>
        <w:ind w:left="1080"/>
      </w:pPr>
      <w:r w:rsidRPr="009F47FD">
        <w:rPr>
          <w:rFonts w:eastAsia="Calibri" w:cs="Times New Roman"/>
          <w:szCs w:val="24"/>
        </w:rPr>
        <w:t>Support, where possible and prudent, campus efforts to develop long-term strategies to address challenges related to faculty/staff compensation and workload.</w:t>
      </w:r>
    </w:p>
    <w:sectPr w:rsidR="00005509" w:rsidSect="00773652">
      <w:headerReference w:type="default" r:id="rId7"/>
      <w:pgSz w:w="12240" w:h="15840"/>
      <w:pgMar w:top="720" w:right="1008" w:bottom="864" w:left="1008"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60" w:rsidRDefault="00426D60" w:rsidP="00AF6CFA">
      <w:r>
        <w:separator/>
      </w:r>
    </w:p>
  </w:endnote>
  <w:endnote w:type="continuationSeparator" w:id="0">
    <w:p w:rsidR="00426D60" w:rsidRDefault="00426D60" w:rsidP="00AF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60" w:rsidRDefault="00426D60" w:rsidP="00AF6CFA">
      <w:r>
        <w:separator/>
      </w:r>
    </w:p>
  </w:footnote>
  <w:footnote w:type="continuationSeparator" w:id="0">
    <w:p w:rsidR="00426D60" w:rsidRDefault="00426D60" w:rsidP="00AF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6532"/>
      <w:docPartObj>
        <w:docPartGallery w:val="Watermarks"/>
        <w:docPartUnique/>
      </w:docPartObj>
    </w:sdtPr>
    <w:sdtContent>
      <w:p w:rsidR="00AF6CFA" w:rsidRDefault="00727B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819"/>
    <w:multiLevelType w:val="hybridMultilevel"/>
    <w:tmpl w:val="9948C7B6"/>
    <w:lvl w:ilvl="0" w:tplc="1DF8FD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14BEF"/>
    <w:multiLevelType w:val="hybridMultilevel"/>
    <w:tmpl w:val="FB627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72661"/>
    <w:multiLevelType w:val="hybridMultilevel"/>
    <w:tmpl w:val="0A70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C1377"/>
    <w:multiLevelType w:val="hybridMultilevel"/>
    <w:tmpl w:val="D138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A4B95"/>
    <w:multiLevelType w:val="hybridMultilevel"/>
    <w:tmpl w:val="5738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D5697F"/>
    <w:multiLevelType w:val="hybridMultilevel"/>
    <w:tmpl w:val="0B22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005509"/>
    <w:rsid w:val="00002B4A"/>
    <w:rsid w:val="00005509"/>
    <w:rsid w:val="000C6140"/>
    <w:rsid w:val="00125992"/>
    <w:rsid w:val="001826C5"/>
    <w:rsid w:val="002259B0"/>
    <w:rsid w:val="002376C5"/>
    <w:rsid w:val="002A0F32"/>
    <w:rsid w:val="002F71B2"/>
    <w:rsid w:val="00322A20"/>
    <w:rsid w:val="00426D60"/>
    <w:rsid w:val="00495374"/>
    <w:rsid w:val="00542BEF"/>
    <w:rsid w:val="005511EA"/>
    <w:rsid w:val="00633BAB"/>
    <w:rsid w:val="006A5EFC"/>
    <w:rsid w:val="006D0460"/>
    <w:rsid w:val="006F1FA9"/>
    <w:rsid w:val="00726A41"/>
    <w:rsid w:val="00727BC5"/>
    <w:rsid w:val="00773652"/>
    <w:rsid w:val="00795C3C"/>
    <w:rsid w:val="0081442F"/>
    <w:rsid w:val="00861768"/>
    <w:rsid w:val="00890599"/>
    <w:rsid w:val="008A533C"/>
    <w:rsid w:val="008B0882"/>
    <w:rsid w:val="008F65DE"/>
    <w:rsid w:val="00951301"/>
    <w:rsid w:val="00976BBB"/>
    <w:rsid w:val="009E405D"/>
    <w:rsid w:val="009F47FD"/>
    <w:rsid w:val="00AA5756"/>
    <w:rsid w:val="00AF6CFA"/>
    <w:rsid w:val="00B22B4E"/>
    <w:rsid w:val="00B57A2A"/>
    <w:rsid w:val="00B70E96"/>
    <w:rsid w:val="00B877EE"/>
    <w:rsid w:val="00B9178B"/>
    <w:rsid w:val="00B97C9B"/>
    <w:rsid w:val="00BE6892"/>
    <w:rsid w:val="00BF2071"/>
    <w:rsid w:val="00BF5B17"/>
    <w:rsid w:val="00C01493"/>
    <w:rsid w:val="00CD52D3"/>
    <w:rsid w:val="00D05306"/>
    <w:rsid w:val="00D52995"/>
    <w:rsid w:val="00D6079F"/>
    <w:rsid w:val="00D875E8"/>
    <w:rsid w:val="00DE539B"/>
    <w:rsid w:val="00DF6F4F"/>
    <w:rsid w:val="00E165BE"/>
    <w:rsid w:val="00E967AD"/>
    <w:rsid w:val="00EC5814"/>
    <w:rsid w:val="00EF09DF"/>
    <w:rsid w:val="00F4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09"/>
    <w:pPr>
      <w:ind w:left="720"/>
      <w:contextualSpacing/>
    </w:pPr>
  </w:style>
  <w:style w:type="paragraph" w:styleId="Header">
    <w:name w:val="header"/>
    <w:basedOn w:val="Normal"/>
    <w:link w:val="HeaderChar"/>
    <w:uiPriority w:val="99"/>
    <w:semiHidden/>
    <w:unhideWhenUsed/>
    <w:rsid w:val="00AF6CFA"/>
    <w:pPr>
      <w:tabs>
        <w:tab w:val="center" w:pos="4680"/>
        <w:tab w:val="right" w:pos="9360"/>
      </w:tabs>
    </w:pPr>
  </w:style>
  <w:style w:type="character" w:customStyle="1" w:styleId="HeaderChar">
    <w:name w:val="Header Char"/>
    <w:basedOn w:val="DefaultParagraphFont"/>
    <w:link w:val="Header"/>
    <w:uiPriority w:val="99"/>
    <w:semiHidden/>
    <w:rsid w:val="00AF6CFA"/>
  </w:style>
  <w:style w:type="paragraph" w:styleId="Footer">
    <w:name w:val="footer"/>
    <w:basedOn w:val="Normal"/>
    <w:link w:val="FooterChar"/>
    <w:uiPriority w:val="99"/>
    <w:semiHidden/>
    <w:unhideWhenUsed/>
    <w:rsid w:val="00AF6CFA"/>
    <w:pPr>
      <w:tabs>
        <w:tab w:val="center" w:pos="4680"/>
        <w:tab w:val="right" w:pos="9360"/>
      </w:tabs>
    </w:pPr>
  </w:style>
  <w:style w:type="character" w:customStyle="1" w:styleId="FooterChar">
    <w:name w:val="Footer Char"/>
    <w:basedOn w:val="DefaultParagraphFont"/>
    <w:link w:val="Footer"/>
    <w:uiPriority w:val="99"/>
    <w:semiHidden/>
    <w:rsid w:val="00AF6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stonej</dc:creator>
  <cp:keywords/>
  <dc:description/>
  <cp:lastModifiedBy>langes</cp:lastModifiedBy>
  <cp:revision>2</cp:revision>
  <cp:lastPrinted>2011-01-18T20:02:00Z</cp:lastPrinted>
  <dcterms:created xsi:type="dcterms:W3CDTF">2011-01-26T13:51:00Z</dcterms:created>
  <dcterms:modified xsi:type="dcterms:W3CDTF">2011-01-26T13:51:00Z</dcterms:modified>
</cp:coreProperties>
</file>