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pStyle w:val="Heading2"/>
      </w:pPr>
      <w:r>
        <w:t>New Course</w:t>
      </w:r>
    </w:p>
    <w:p w:rsidR="00F76B6B" w:rsidRDefault="00F76B6B">
      <w:pPr>
        <w:spacing w:line="360" w:lineRule="auto"/>
        <w:rPr>
          <w:sz w:val="22"/>
          <w:szCs w:val="24"/>
        </w:rPr>
      </w:pPr>
      <w:r>
        <w:rPr>
          <w:b/>
          <w:bCs/>
          <w:sz w:val="22"/>
          <w:szCs w:val="24"/>
        </w:rPr>
        <w:t>Effective Term:</w:t>
      </w:r>
      <w:r>
        <w:rPr>
          <w:sz w:val="22"/>
          <w:szCs w:val="24"/>
        </w:rPr>
        <w:tab/>
      </w:r>
      <w:r w:rsidR="00D86DF8">
        <w:rPr>
          <w:sz w:val="22"/>
        </w:rPr>
        <w:fldChar w:fldCharType="begin">
          <w:ffData>
            <w:name w:val=""/>
            <w:enabled/>
            <w:calcOnExit w:val="0"/>
            <w:ddList>
              <w:result w:val="9"/>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sidR="00D86DF8">
        <w:rPr>
          <w:sz w:val="22"/>
        </w:rPr>
        <w:instrText xml:space="preserve"> FORMDROPDOWN </w:instrText>
      </w:r>
      <w:r w:rsidR="001B6727">
        <w:rPr>
          <w:sz w:val="22"/>
        </w:rPr>
      </w:r>
      <w:r w:rsidR="00D86DF8">
        <w:rPr>
          <w:sz w:val="22"/>
        </w:rPr>
        <w:fldChar w:fldCharType="end"/>
      </w:r>
      <w:r>
        <w:rPr>
          <w:sz w:val="22"/>
          <w:szCs w:val="24"/>
        </w:rPr>
        <w:tab/>
      </w: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5A6E82">
        <w:rPr>
          <w:b/>
          <w:bCs/>
          <w:noProof/>
          <w:sz w:val="22"/>
          <w:szCs w:val="24"/>
        </w:rPr>
        <w:t>RECREATN 440</w:t>
      </w:r>
      <w:r w:rsidR="00607B9F">
        <w:rPr>
          <w:b/>
          <w:bCs/>
          <w:noProof/>
          <w:sz w:val="22"/>
          <w:szCs w:val="24"/>
        </w:rPr>
        <w:t>/640</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16388A">
        <w:rPr>
          <w:noProof/>
          <w:sz w:val="22"/>
          <w:szCs w:val="24"/>
        </w:rPr>
        <w:t>Commercial and enterpreneurial recreation</w:t>
      </w:r>
      <w:r>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66701A">
        <w:rPr>
          <w:noProof/>
          <w:sz w:val="22"/>
          <w:szCs w:val="24"/>
        </w:rPr>
        <w:t xml:space="preserve">Commercial rec. </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66701A">
        <w:rPr>
          <w:noProof/>
          <w:sz w:val="22"/>
          <w:szCs w:val="24"/>
        </w:rPr>
        <w:t>Thomas F. Gustafson, Ph.D. and Karen Barak, Ph.D.</w:t>
      </w:r>
      <w:r>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66701A">
        <w:rPr>
          <w:noProof/>
          <w:sz w:val="22"/>
          <w:szCs w:val="24"/>
        </w:rPr>
        <w:t>HPRC</w:t>
      </w:r>
      <w:r>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66701A">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A071BA">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6649F4">
        <w:rPr>
          <w:b/>
          <w:bCs/>
          <w:noProof/>
          <w:sz w:val="22"/>
          <w:szCs w:val="24"/>
        </w:rPr>
        <w:t>Submajor: Physical Education - Health Human Performance Recreation &amp; Coaching. Minor: Recreation Leisure Studies (Educ) Minor: Recreation Leisure Studies (L&amp;S).</w:t>
      </w:r>
      <w:r>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val="0"/>
            </w:checkBox>
          </w:ffData>
        </w:fldChar>
      </w:r>
      <w:r>
        <w:rPr>
          <w:sz w:val="22"/>
        </w:rPr>
        <w:instrText xml:space="preserve"> FORMCHECKBOX </w:instrText>
      </w:r>
      <w:r w:rsidR="00A071BA">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6649F4">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607B9F" w:rsidRDefault="00607B9F">
      <w:pPr>
        <w:tabs>
          <w:tab w:val="left" w:pos="2430"/>
        </w:tabs>
        <w:rPr>
          <w:b/>
          <w:bCs/>
          <w:sz w:val="22"/>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5E14EE">
        <w:rPr>
          <w:noProof/>
          <w:sz w:val="22"/>
        </w:rPr>
        <w:t>none</w:t>
      </w:r>
      <w:r>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005E14EE">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sidR="006649F4">
        <w:rPr>
          <w:sz w:val="22"/>
        </w:rPr>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Pr>
          <w:sz w:val="22"/>
        </w:rPr>
      </w:r>
      <w:r>
        <w:rPr>
          <w:sz w:val="22"/>
        </w:rPr>
        <w:fldChar w:fldCharType="end"/>
      </w:r>
      <w:bookmarkEnd w:id="9"/>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Box>
          </w:ffData>
        </w:fldChar>
      </w:r>
      <w:bookmarkStart w:id="10" w:name="Check3"/>
      <w:r>
        <w:rPr>
          <w:sz w:val="22"/>
        </w:rPr>
        <w:instrText xml:space="preserve"> FORMCHECKBOX </w:instrText>
      </w:r>
      <w:r>
        <w:rPr>
          <w:sz w:val="22"/>
        </w:rPr>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Pr>
          <w:sz w:val="22"/>
        </w:rPr>
      </w:r>
      <w:r>
        <w:rPr>
          <w:sz w:val="22"/>
        </w:rPr>
        <w:fldChar w:fldCharType="end"/>
      </w:r>
      <w:bookmarkEnd w:id="11"/>
      <w:r>
        <w:rPr>
          <w:sz w:val="22"/>
        </w:rPr>
        <w:tab/>
        <w:t xml:space="preserve">Off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6649F4">
        <w:rPr>
          <w:sz w:val="22"/>
        </w:rPr>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6649F4">
        <w:rPr>
          <w:noProof/>
          <w:sz w:val="22"/>
        </w:rPr>
        <w:t>HPRC</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6649F4">
        <w:rPr>
          <w:noProof/>
          <w:sz w:val="22"/>
        </w:rPr>
        <w:t>Dr. Thomas Gustafson</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Pr>
          <w:sz w:val="22"/>
        </w:rPr>
        <w:instrText xml:space="preserve"> FORMCHECKBOX </w:instrText>
      </w:r>
      <w:r>
        <w:rPr>
          <w:sz w:val="22"/>
        </w:rPr>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Pr>
          <w:sz w:val="22"/>
        </w:rPr>
      </w:r>
      <w:r>
        <w:rPr>
          <w:sz w:val="22"/>
        </w:rPr>
        <w:fldChar w:fldCharType="end"/>
      </w:r>
      <w:bookmarkEnd w:id="15"/>
      <w:r>
        <w:rPr>
          <w:sz w:val="22"/>
        </w:rPr>
        <w:t xml:space="preserve">  General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CC54EA" w:rsidRPr="008378F9">
        <w:rPr>
          <w:sz w:val="22"/>
        </w:rPr>
      </w:r>
      <w:r w:rsidR="008378F9">
        <w:rPr>
          <w:sz w:val="22"/>
        </w:rPr>
        <w:fldChar w:fldCharType="end"/>
      </w:r>
      <w:bookmarkEnd w:id="16"/>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C2A42">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C2A42">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C2A4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C2A42">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2C2A42">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8"/>
          <w:footerReference w:type="first" r:id="rId9"/>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0" w:history="1">
        <w:r w:rsidRPr="00923AAB">
          <w:rPr>
            <w:rStyle w:val="Hyperlink"/>
            <w:b/>
            <w:i/>
            <w:sz w:val="18"/>
            <w:szCs w:val="18"/>
          </w:rPr>
          <w:t>Procedu</w:t>
        </w:r>
        <w:r w:rsidRPr="00923AAB">
          <w:rPr>
            <w:rStyle w:val="Hyperlink"/>
            <w:b/>
            <w:i/>
            <w:sz w:val="18"/>
            <w:szCs w:val="18"/>
          </w:rPr>
          <w:t>r</w:t>
        </w:r>
        <w:r w:rsidRPr="00923AAB">
          <w:rPr>
            <w:rStyle w:val="Hyperlink"/>
            <w:b/>
            <w:i/>
            <w:sz w:val="18"/>
            <w:szCs w:val="18"/>
          </w:rPr>
          <w:t xml:space="preserve">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AA3709" w:rsidRDefault="00AA3709">
      <w:pPr>
        <w:rPr>
          <w:sz w:val="22"/>
          <w:szCs w:val="22"/>
        </w:rPr>
      </w:pPr>
      <w:r>
        <w:rPr>
          <w:sz w:val="22"/>
          <w:szCs w:val="22"/>
        </w:rPr>
        <w:t xml:space="preserve">Approximately 80% of the </w:t>
      </w:r>
      <w:r w:rsidR="006649F4">
        <w:rPr>
          <w:sz w:val="22"/>
          <w:szCs w:val="22"/>
        </w:rPr>
        <w:t xml:space="preserve">career </w:t>
      </w:r>
      <w:r>
        <w:rPr>
          <w:sz w:val="22"/>
          <w:szCs w:val="22"/>
        </w:rPr>
        <w:t xml:space="preserve">positions and growth in the recreation profession are in the commercial sector. This course provides those interested in a recreation career the requisite skills </w:t>
      </w:r>
      <w:r w:rsidR="00BC0392">
        <w:rPr>
          <w:sz w:val="22"/>
          <w:szCs w:val="22"/>
        </w:rPr>
        <w:t xml:space="preserve">and knowledge </w:t>
      </w:r>
      <w:r>
        <w:rPr>
          <w:sz w:val="22"/>
          <w:szCs w:val="22"/>
        </w:rPr>
        <w:t>to perform entry level task</w:t>
      </w:r>
      <w:r w:rsidR="006649F4">
        <w:rPr>
          <w:sz w:val="22"/>
          <w:szCs w:val="22"/>
        </w:rPr>
        <w:t>s. In addition, with public sector recreation</w:t>
      </w:r>
      <w:r>
        <w:rPr>
          <w:sz w:val="22"/>
          <w:szCs w:val="22"/>
        </w:rPr>
        <w:t xml:space="preserve"> facing incr</w:t>
      </w:r>
      <w:r w:rsidR="006649F4">
        <w:rPr>
          <w:sz w:val="22"/>
          <w:szCs w:val="22"/>
        </w:rPr>
        <w:t>easing budget constraints and</w:t>
      </w:r>
      <w:r>
        <w:rPr>
          <w:sz w:val="22"/>
          <w:szCs w:val="22"/>
        </w:rPr>
        <w:t xml:space="preserve"> being asked to operate more entrepreneurially, </w:t>
      </w:r>
      <w:r w:rsidR="00102EAB">
        <w:rPr>
          <w:sz w:val="22"/>
          <w:szCs w:val="22"/>
        </w:rPr>
        <w:t>the skills and mate</w:t>
      </w:r>
      <w:r w:rsidR="006649F4">
        <w:rPr>
          <w:sz w:val="22"/>
          <w:szCs w:val="22"/>
        </w:rPr>
        <w:t>rial from this class are</w:t>
      </w:r>
      <w:r w:rsidR="00102EAB">
        <w:rPr>
          <w:sz w:val="22"/>
          <w:szCs w:val="22"/>
        </w:rPr>
        <w:t xml:space="preserve"> increasingly relevant to </w:t>
      </w:r>
      <w:r w:rsidR="00A23A18">
        <w:rPr>
          <w:sz w:val="22"/>
          <w:szCs w:val="22"/>
        </w:rPr>
        <w:t xml:space="preserve">those entering careers in </w:t>
      </w:r>
      <w:r w:rsidR="00102EAB">
        <w:rPr>
          <w:sz w:val="22"/>
          <w:szCs w:val="22"/>
        </w:rPr>
        <w:t xml:space="preserve">public recreation. </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0E7D04" w:rsidRDefault="000E7D04">
      <w:pPr>
        <w:rPr>
          <w:sz w:val="22"/>
          <w:szCs w:val="22"/>
        </w:rPr>
      </w:pPr>
      <w:r>
        <w:rPr>
          <w:sz w:val="22"/>
          <w:szCs w:val="22"/>
        </w:rPr>
        <w:t>The recreation/leisure studies program recently hired additional faculty to increase program offerings which has been a</w:t>
      </w:r>
      <w:r w:rsidR="006649F4">
        <w:rPr>
          <w:sz w:val="22"/>
          <w:szCs w:val="22"/>
        </w:rPr>
        <w:t xml:space="preserve"> program</w:t>
      </w:r>
      <w:r>
        <w:rPr>
          <w:sz w:val="22"/>
          <w:szCs w:val="22"/>
        </w:rPr>
        <w:t xml:space="preserve"> objective. In addition, converting special studies</w:t>
      </w:r>
      <w:r w:rsidR="00C6489E">
        <w:rPr>
          <w:sz w:val="22"/>
          <w:szCs w:val="22"/>
        </w:rPr>
        <w:t xml:space="preserve"> classes to traditional format </w:t>
      </w:r>
      <w:r>
        <w:rPr>
          <w:sz w:val="22"/>
          <w:szCs w:val="22"/>
        </w:rPr>
        <w:t xml:space="preserve">is a current objective of the program. </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F76B6B" w:rsidRDefault="006649F4">
      <w:pPr>
        <w:rPr>
          <w:sz w:val="22"/>
          <w:szCs w:val="22"/>
        </w:rPr>
      </w:pPr>
      <w:r>
        <w:rPr>
          <w:sz w:val="22"/>
          <w:szCs w:val="22"/>
        </w:rPr>
        <w:t>N</w:t>
      </w:r>
      <w:r w:rsidR="000E7D04">
        <w:rPr>
          <w:sz w:val="22"/>
          <w:szCs w:val="22"/>
        </w:rPr>
        <w:t>one</w:t>
      </w:r>
      <w:r>
        <w:rPr>
          <w:sz w:val="22"/>
          <w:szCs w:val="22"/>
        </w:rPr>
        <w:t>. This course is currently being taught as a Special Studies course.</w:t>
      </w:r>
    </w:p>
    <w:p w:rsidR="000E7D04" w:rsidRDefault="000E7D04">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F80658" w:rsidRPr="00F80658" w:rsidRDefault="00F80658" w:rsidP="00F80658">
      <w:pPr>
        <w:rPr>
          <w:b/>
          <w:bCs/>
          <w:sz w:val="22"/>
          <w:szCs w:val="22"/>
        </w:rPr>
      </w:pPr>
      <w:r w:rsidRPr="00F80658">
        <w:rPr>
          <w:bCs/>
          <w:sz w:val="22"/>
          <w:szCs w:val="22"/>
        </w:rPr>
        <w:t>Students in this class will explore commercial recreation, entrepreneurialism, and basics of travel and tourism. Topics include an overview of entrepreneurial recreation, economics, marketing and financing commercial recreation endeavors, and exploring various opportunities available in the commercial and private sector.</w:t>
      </w: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015896" w:rsidRDefault="00015896">
      <w:pPr>
        <w:tabs>
          <w:tab w:val="left" w:pos="3870"/>
        </w:tabs>
        <w:rPr>
          <w:b/>
          <w:bCs/>
          <w:sz w:val="22"/>
          <w:szCs w:val="22"/>
        </w:rPr>
      </w:pPr>
    </w:p>
    <w:p w:rsidR="00F76B6B" w:rsidRDefault="00F76B6B" w:rsidP="006C0797">
      <w:pPr>
        <w:numPr>
          <w:ilvl w:val="0"/>
          <w:numId w:val="12"/>
        </w:numPr>
        <w:rPr>
          <w:sz w:val="22"/>
          <w:szCs w:val="22"/>
        </w:rPr>
      </w:pPr>
      <w:r>
        <w:rPr>
          <w:b/>
          <w:bCs/>
          <w:sz w:val="22"/>
          <w:szCs w:val="22"/>
        </w:rPr>
        <w:t xml:space="preserve">Content </w:t>
      </w:r>
      <w:r>
        <w:rPr>
          <w:sz w:val="22"/>
          <w:szCs w:val="22"/>
        </w:rPr>
        <w:t xml:space="preserve">(e.g., What are additional presentation/project requirements?) </w:t>
      </w:r>
      <w:r>
        <w:rPr>
          <w:sz w:val="22"/>
          <w:szCs w:val="22"/>
        </w:rPr>
        <w:br/>
      </w:r>
    </w:p>
    <w:p w:rsidR="00015896" w:rsidRPr="00BC0392" w:rsidRDefault="00015896" w:rsidP="00BC0392">
      <w:pPr>
        <w:ind w:left="1080"/>
        <w:rPr>
          <w:szCs w:val="24"/>
        </w:rPr>
      </w:pPr>
      <w:r w:rsidRPr="00015896">
        <w:rPr>
          <w:sz w:val="22"/>
          <w:szCs w:val="22"/>
        </w:rPr>
        <w:t>Graduate stu</w:t>
      </w:r>
      <w:r w:rsidR="00E11503">
        <w:rPr>
          <w:sz w:val="22"/>
          <w:szCs w:val="22"/>
        </w:rPr>
        <w:t>dents -</w:t>
      </w:r>
      <w:r w:rsidRPr="00015896">
        <w:rPr>
          <w:sz w:val="22"/>
          <w:szCs w:val="22"/>
        </w:rPr>
        <w:t xml:space="preserve"> Graduate students will do an industry analysis that will comprise 40% of their grade and present the analysis to the class. Parameters for the industry prospectus include but are not limited to a brief history of the industry, the current status of the industry, and prospects for development of the industry. Element to include are financial and economic status job prospects, salaries for entry level positions, mid career positions, and executive positions; job descriptions for previously state</w:t>
      </w:r>
      <w:r>
        <w:rPr>
          <w:sz w:val="22"/>
          <w:szCs w:val="22"/>
        </w:rPr>
        <w:t>d</w:t>
      </w:r>
      <w:r w:rsidRPr="00015896">
        <w:rPr>
          <w:sz w:val="22"/>
          <w:szCs w:val="22"/>
        </w:rPr>
        <w:t xml:space="preserve"> positions, and skill needed to progress in one’s career track. </w:t>
      </w:r>
    </w:p>
    <w:p w:rsidR="00F76B6B" w:rsidRDefault="00F76B6B">
      <w:pPr>
        <w:ind w:left="900" w:hanging="180"/>
        <w:rPr>
          <w:sz w:val="22"/>
          <w:szCs w:val="22"/>
        </w:rPr>
      </w:pPr>
    </w:p>
    <w:p w:rsidR="00F76B6B" w:rsidRDefault="00F76B6B" w:rsidP="006C0797">
      <w:pPr>
        <w:numPr>
          <w:ilvl w:val="0"/>
          <w:numId w:val="12"/>
        </w:numPr>
        <w:rPr>
          <w:sz w:val="22"/>
          <w:szCs w:val="22"/>
        </w:rPr>
      </w:pPr>
      <w:r>
        <w:rPr>
          <w:b/>
          <w:bCs/>
          <w:sz w:val="22"/>
          <w:szCs w:val="22"/>
        </w:rPr>
        <w:t xml:space="preserve">Intensity </w:t>
      </w:r>
      <w:r>
        <w:rPr>
          <w:sz w:val="22"/>
          <w:szCs w:val="22"/>
        </w:rPr>
        <w:t>(e.g., How are the processes and standards of evaluation different fo</w:t>
      </w:r>
      <w:r w:rsidR="00015896">
        <w:rPr>
          <w:sz w:val="22"/>
          <w:szCs w:val="22"/>
        </w:rPr>
        <w:t>r graduates and undergraduates?</w:t>
      </w:r>
      <w:r>
        <w:rPr>
          <w:sz w:val="22"/>
          <w:szCs w:val="22"/>
        </w:rPr>
        <w:t xml:space="preserve">) </w:t>
      </w:r>
      <w:r>
        <w:rPr>
          <w:sz w:val="22"/>
          <w:szCs w:val="22"/>
        </w:rPr>
        <w:br/>
      </w:r>
    </w:p>
    <w:p w:rsidR="00E11503" w:rsidRDefault="00E11503" w:rsidP="00E53FE7">
      <w:pPr>
        <w:ind w:left="1080"/>
        <w:rPr>
          <w:sz w:val="22"/>
          <w:szCs w:val="22"/>
        </w:rPr>
      </w:pPr>
      <w:r>
        <w:rPr>
          <w:sz w:val="22"/>
          <w:szCs w:val="22"/>
        </w:rPr>
        <w:t>The graduate project comprises 40% of graduate student evaluations, while q</w:t>
      </w:r>
      <w:r w:rsidRPr="00015896">
        <w:rPr>
          <w:sz w:val="22"/>
          <w:szCs w:val="22"/>
        </w:rPr>
        <w:t>uizzes comprise 60% of the graduate students’ grade</w:t>
      </w:r>
      <w:r>
        <w:rPr>
          <w:sz w:val="22"/>
          <w:szCs w:val="22"/>
        </w:rPr>
        <w:t xml:space="preserve">. This weighting differs from undergraduate requirements. </w:t>
      </w:r>
    </w:p>
    <w:p w:rsidR="00015896" w:rsidRDefault="00015896">
      <w:pPr>
        <w:ind w:left="720"/>
        <w:rPr>
          <w:sz w:val="22"/>
          <w:szCs w:val="22"/>
        </w:rPr>
      </w:pPr>
    </w:p>
    <w:p w:rsidR="00F76B6B" w:rsidRDefault="006C0797" w:rsidP="006C0797">
      <w:pPr>
        <w:numPr>
          <w:ilvl w:val="0"/>
          <w:numId w:val="12"/>
        </w:numPr>
        <w:rPr>
          <w:sz w:val="22"/>
          <w:szCs w:val="22"/>
        </w:rPr>
      </w:pPr>
      <w:r>
        <w:rPr>
          <w:b/>
          <w:bCs/>
          <w:sz w:val="22"/>
          <w:szCs w:val="22"/>
        </w:rPr>
        <w:t>Self</w:t>
      </w:r>
      <w:r w:rsidR="00F76B6B">
        <w:rPr>
          <w:b/>
          <w:bCs/>
          <w:sz w:val="22"/>
          <w:szCs w:val="22"/>
        </w:rPr>
        <w:t>-Directed</w:t>
      </w:r>
      <w:r w:rsidR="00F76B6B">
        <w:rPr>
          <w:sz w:val="22"/>
          <w:szCs w:val="22"/>
        </w:rPr>
        <w:t xml:space="preserve"> (e.g., How are research expectations differ for graduates and undergraduates?) </w:t>
      </w:r>
      <w:r w:rsidR="00F76B6B">
        <w:rPr>
          <w:sz w:val="22"/>
          <w:szCs w:val="22"/>
        </w:rPr>
        <w:br/>
      </w:r>
      <w:r w:rsidR="00E11503">
        <w:rPr>
          <w:sz w:val="22"/>
          <w:szCs w:val="22"/>
        </w:rPr>
        <w:t>The graduate project allows latitude for students to research careers in areas of specific interest to their professional direction and to define their personal professional development path.</w:t>
      </w:r>
    </w:p>
    <w:p w:rsidR="00F76B6B" w:rsidRDefault="00F76B6B" w:rsidP="006C0797">
      <w:pPr>
        <w:ind w:left="720" w:firstLine="360"/>
        <w:rPr>
          <w:sz w:val="22"/>
          <w:szCs w:val="22"/>
        </w:rPr>
      </w:pPr>
    </w:p>
    <w:p w:rsidR="00015896" w:rsidRDefault="00015896">
      <w:pPr>
        <w:ind w:left="720"/>
        <w:rPr>
          <w:sz w:val="22"/>
          <w:szCs w:val="22"/>
        </w:rPr>
      </w:pPr>
    </w:p>
    <w:p w:rsidR="00607B9F" w:rsidRDefault="00607B9F">
      <w:pPr>
        <w:tabs>
          <w:tab w:val="left" w:pos="1440"/>
          <w:tab w:val="left" w:pos="1530"/>
          <w:tab w:val="right" w:pos="2880"/>
          <w:tab w:val="left" w:pos="2970"/>
          <w:tab w:val="left" w:pos="3060"/>
        </w:tabs>
        <w:rPr>
          <w:b/>
          <w:bCs/>
          <w:sz w:val="22"/>
          <w:szCs w:val="22"/>
        </w:rPr>
      </w:pPr>
    </w:p>
    <w:p w:rsidR="00607B9F" w:rsidRDefault="00607B9F">
      <w:pPr>
        <w:tabs>
          <w:tab w:val="left" w:pos="1440"/>
          <w:tab w:val="left" w:pos="1530"/>
          <w:tab w:val="right" w:pos="2880"/>
          <w:tab w:val="left" w:pos="2970"/>
          <w:tab w:val="left" w:pos="3060"/>
        </w:tabs>
        <w:rPr>
          <w:b/>
          <w:bCs/>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lastRenderedPageBreak/>
        <w:t>Course objectives and tentative course syllabus:</w:t>
      </w:r>
      <w:r>
        <w:rPr>
          <w:b/>
          <w:bCs/>
          <w:sz w:val="22"/>
          <w:szCs w:val="22"/>
        </w:rPr>
        <w:tab/>
      </w:r>
      <w:r>
        <w:rPr>
          <w:b/>
          <w:bCs/>
          <w:sz w:val="22"/>
          <w:szCs w:val="22"/>
        </w:rPr>
        <w:tab/>
      </w:r>
    </w:p>
    <w:p w:rsidR="00F76B6B" w:rsidRDefault="00F76B6B">
      <w:pPr>
        <w:rPr>
          <w:sz w:val="22"/>
          <w:szCs w:val="22"/>
        </w:rPr>
      </w:pPr>
    </w:p>
    <w:p w:rsidR="006C0797" w:rsidRDefault="006C0797">
      <w:pPr>
        <w:rPr>
          <w:sz w:val="22"/>
          <w:szCs w:val="22"/>
        </w:rPr>
      </w:pPr>
      <w:r>
        <w:rPr>
          <w:sz w:val="22"/>
          <w:szCs w:val="22"/>
        </w:rPr>
        <w:t xml:space="preserve">See </w:t>
      </w:r>
      <w:r w:rsidR="008E5822">
        <w:rPr>
          <w:sz w:val="22"/>
          <w:szCs w:val="22"/>
        </w:rPr>
        <w:t>attached syllabus</w:t>
      </w:r>
    </w:p>
    <w:p w:rsidR="00F76B6B" w:rsidRDefault="00F76B6B">
      <w:pPr>
        <w:rPr>
          <w:sz w:val="22"/>
          <w:szCs w:val="22"/>
        </w:rPr>
      </w:pPr>
    </w:p>
    <w:p w:rsidR="00F76B6B" w:rsidRDefault="00F76B6B">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F76B6B" w:rsidRDefault="00F76B6B">
      <w:pPr>
        <w:tabs>
          <w:tab w:val="left" w:pos="1440"/>
          <w:tab w:val="left" w:pos="1530"/>
          <w:tab w:val="right" w:pos="2880"/>
          <w:tab w:val="left" w:pos="2970"/>
          <w:tab w:val="left" w:pos="3060"/>
        </w:tabs>
        <w:rPr>
          <w:b/>
          <w:bCs/>
          <w:sz w:val="22"/>
          <w:szCs w:val="22"/>
        </w:rPr>
      </w:pPr>
    </w:p>
    <w:p w:rsidR="00F07F99" w:rsidRPr="00F07F99" w:rsidRDefault="00F07F99" w:rsidP="00E94478">
      <w:pPr>
        <w:pStyle w:val="NoSpacing"/>
        <w:ind w:left="720" w:hanging="720"/>
        <w:rPr>
          <w:rFonts w:ascii="Times New Roman" w:hAnsi="Times New Roman"/>
          <w:bCs/>
        </w:rPr>
      </w:pPr>
      <w:r w:rsidRPr="00F07F99">
        <w:rPr>
          <w:rFonts w:ascii="Times New Roman" w:hAnsi="Times New Roman"/>
          <w:bCs/>
        </w:rPr>
        <w:t xml:space="preserve">Brayley, R.E. &amp; McLean D.D. (2008). </w:t>
      </w:r>
      <w:r w:rsidRPr="00F07F99">
        <w:rPr>
          <w:rFonts w:ascii="Times New Roman" w:hAnsi="Times New Roman"/>
          <w:bCs/>
          <w:i/>
        </w:rPr>
        <w:t xml:space="preserve">Financial resource Management: Sport Tourism, and Leisure Services. </w:t>
      </w:r>
      <w:r w:rsidRPr="00F07F99">
        <w:rPr>
          <w:rFonts w:ascii="Times New Roman" w:hAnsi="Times New Roman"/>
          <w:bCs/>
        </w:rPr>
        <w:t xml:space="preserve">Sagamore Publishing, Champaign, IL. </w:t>
      </w:r>
    </w:p>
    <w:p w:rsidR="00F07F99" w:rsidRPr="00F07F99" w:rsidRDefault="00F07F99" w:rsidP="00F07F99">
      <w:pPr>
        <w:pStyle w:val="NoSpacing"/>
        <w:rPr>
          <w:rFonts w:ascii="Times New Roman" w:hAnsi="Times New Roman"/>
          <w:bCs/>
        </w:rPr>
      </w:pPr>
    </w:p>
    <w:p w:rsidR="00F07F99" w:rsidRPr="00F07F99" w:rsidRDefault="00F07F99" w:rsidP="00E94478">
      <w:pPr>
        <w:pStyle w:val="NoSpacing"/>
        <w:ind w:left="720" w:hanging="720"/>
        <w:rPr>
          <w:rFonts w:ascii="Times New Roman" w:hAnsi="Times New Roman"/>
          <w:bCs/>
        </w:rPr>
      </w:pPr>
      <w:r w:rsidRPr="00F07F99">
        <w:rPr>
          <w:rFonts w:ascii="Times New Roman" w:hAnsi="Times New Roman"/>
          <w:bCs/>
        </w:rPr>
        <w:t xml:space="preserve">Crompton, J. L. &amp; Lamb, C.W. </w:t>
      </w:r>
      <w:r w:rsidR="00871F7B">
        <w:rPr>
          <w:rFonts w:ascii="Times New Roman" w:hAnsi="Times New Roman"/>
          <w:bCs/>
        </w:rPr>
        <w:t xml:space="preserve">(1986). </w:t>
      </w:r>
      <w:r w:rsidRPr="00F07F99">
        <w:rPr>
          <w:rFonts w:ascii="Times New Roman" w:hAnsi="Times New Roman"/>
          <w:bCs/>
          <w:i/>
        </w:rPr>
        <w:t>Marketing Government and Social Services.</w:t>
      </w:r>
      <w:r w:rsidRPr="00F07F99">
        <w:rPr>
          <w:rFonts w:ascii="Times New Roman" w:hAnsi="Times New Roman"/>
          <w:bCs/>
        </w:rPr>
        <w:t xml:space="preserve"> John Wiley and Sons, New York, NY. </w:t>
      </w:r>
    </w:p>
    <w:p w:rsidR="00F07F99" w:rsidRPr="00F07F99" w:rsidRDefault="00F07F99" w:rsidP="00F07F99">
      <w:pPr>
        <w:pStyle w:val="NoSpacing"/>
        <w:rPr>
          <w:rFonts w:ascii="Times New Roman" w:hAnsi="Times New Roman"/>
          <w:bCs/>
        </w:rPr>
      </w:pPr>
    </w:p>
    <w:p w:rsidR="00F07F99" w:rsidRPr="00F07F99" w:rsidRDefault="00F07F99" w:rsidP="00F07F99">
      <w:pPr>
        <w:pStyle w:val="NoSpacing"/>
        <w:rPr>
          <w:rFonts w:ascii="Times New Roman" w:hAnsi="Times New Roman"/>
          <w:bCs/>
        </w:rPr>
      </w:pPr>
      <w:r w:rsidRPr="00F07F99">
        <w:rPr>
          <w:rFonts w:ascii="Times New Roman" w:hAnsi="Times New Roman"/>
          <w:bCs/>
        </w:rPr>
        <w:t xml:space="preserve">Horner, S. &amp; Swarbrooke, J. (2005). </w:t>
      </w:r>
      <w:r w:rsidRPr="00F07F99">
        <w:rPr>
          <w:rFonts w:ascii="Times New Roman" w:hAnsi="Times New Roman"/>
          <w:bCs/>
          <w:i/>
        </w:rPr>
        <w:t xml:space="preserve">Leisure Marketing: A Global Perspective. </w:t>
      </w:r>
      <w:r w:rsidRPr="00F07F99">
        <w:rPr>
          <w:rFonts w:ascii="Times New Roman" w:hAnsi="Times New Roman"/>
          <w:bCs/>
        </w:rPr>
        <w:t xml:space="preserve">London, ENG. </w:t>
      </w:r>
    </w:p>
    <w:p w:rsidR="00F07F99" w:rsidRPr="00F07F99" w:rsidRDefault="00F07F99" w:rsidP="00F07F99">
      <w:pPr>
        <w:pStyle w:val="NoSpacing"/>
        <w:rPr>
          <w:rFonts w:ascii="Times New Roman" w:hAnsi="Times New Roman"/>
          <w:bCs/>
        </w:rPr>
      </w:pPr>
    </w:p>
    <w:p w:rsidR="00F07F99" w:rsidRPr="00F07F99" w:rsidRDefault="00F07F99" w:rsidP="00E94478">
      <w:pPr>
        <w:pStyle w:val="NoSpacing"/>
        <w:ind w:left="720" w:hanging="720"/>
        <w:rPr>
          <w:rFonts w:ascii="Times New Roman" w:hAnsi="Times New Roman"/>
          <w:bCs/>
        </w:rPr>
      </w:pPr>
      <w:r w:rsidRPr="00F07F99">
        <w:rPr>
          <w:rFonts w:ascii="Times New Roman" w:hAnsi="Times New Roman"/>
          <w:bCs/>
        </w:rPr>
        <w:t>Hurd, A. Barcelona, B.</w:t>
      </w:r>
      <w:r w:rsidR="001335EF">
        <w:rPr>
          <w:rFonts w:ascii="Times New Roman" w:hAnsi="Times New Roman"/>
          <w:bCs/>
        </w:rPr>
        <w:t xml:space="preserve"> </w:t>
      </w:r>
      <w:r w:rsidRPr="00F07F99">
        <w:rPr>
          <w:rFonts w:ascii="Times New Roman" w:hAnsi="Times New Roman"/>
          <w:bCs/>
        </w:rPr>
        <w:t xml:space="preserve">&amp; Meldrum, J.T. (2008). </w:t>
      </w:r>
      <w:r w:rsidRPr="00F07F99">
        <w:rPr>
          <w:rFonts w:ascii="Times New Roman" w:hAnsi="Times New Roman"/>
          <w:bCs/>
          <w:i/>
        </w:rPr>
        <w:t>Leisure Services Management.</w:t>
      </w:r>
      <w:r w:rsidRPr="00F07F99">
        <w:rPr>
          <w:rFonts w:ascii="Times New Roman" w:hAnsi="Times New Roman"/>
          <w:bCs/>
        </w:rPr>
        <w:t xml:space="preserve"> Human, Kinetics, Champaign, IL.</w:t>
      </w:r>
    </w:p>
    <w:p w:rsidR="00F07F99" w:rsidRPr="00F07F99" w:rsidRDefault="00F07F99" w:rsidP="00F07F99">
      <w:pPr>
        <w:pStyle w:val="NoSpacing"/>
        <w:rPr>
          <w:rFonts w:ascii="Times New Roman" w:hAnsi="Times New Roman"/>
          <w:bCs/>
        </w:rPr>
      </w:pPr>
    </w:p>
    <w:p w:rsidR="00F07F99" w:rsidRPr="00F07F99" w:rsidRDefault="00F07F99" w:rsidP="00E94478">
      <w:pPr>
        <w:ind w:left="720" w:hanging="720"/>
        <w:rPr>
          <w:sz w:val="22"/>
          <w:szCs w:val="22"/>
        </w:rPr>
      </w:pPr>
      <w:r w:rsidRPr="00F07F99">
        <w:rPr>
          <w:sz w:val="22"/>
          <w:szCs w:val="22"/>
        </w:rPr>
        <w:t xml:space="preserve">Janes, P.C. (2006). </w:t>
      </w:r>
      <w:r w:rsidRPr="00F07F99">
        <w:rPr>
          <w:i/>
          <w:sz w:val="22"/>
          <w:szCs w:val="22"/>
        </w:rPr>
        <w:t>Marketing in Leisure and Tourism: Reaching New Heights</w:t>
      </w:r>
      <w:r w:rsidRPr="00F07F99">
        <w:rPr>
          <w:sz w:val="22"/>
          <w:szCs w:val="22"/>
        </w:rPr>
        <w:t xml:space="preserve">. Venture Publishing: State College, PA. </w:t>
      </w:r>
    </w:p>
    <w:p w:rsidR="00F07F99" w:rsidRPr="00F07F99" w:rsidRDefault="00F07F99" w:rsidP="00F07F99">
      <w:pPr>
        <w:rPr>
          <w:sz w:val="22"/>
          <w:szCs w:val="22"/>
        </w:rPr>
      </w:pPr>
    </w:p>
    <w:p w:rsidR="00F07F99" w:rsidRPr="00F07F99" w:rsidRDefault="00F07F99" w:rsidP="00E94478">
      <w:pPr>
        <w:ind w:left="720" w:hanging="720"/>
        <w:rPr>
          <w:sz w:val="22"/>
          <w:szCs w:val="22"/>
        </w:rPr>
      </w:pPr>
      <w:r w:rsidRPr="00F07F99">
        <w:rPr>
          <w:sz w:val="22"/>
          <w:szCs w:val="22"/>
        </w:rPr>
        <w:t xml:space="preserve">Kelly, J.R. &amp; Warnick, R.B. (1999). </w:t>
      </w:r>
      <w:r w:rsidRPr="00F07F99">
        <w:rPr>
          <w:i/>
          <w:sz w:val="22"/>
          <w:szCs w:val="22"/>
        </w:rPr>
        <w:t>Recreation Trends and Markets: The 21</w:t>
      </w:r>
      <w:r w:rsidRPr="00F07F99">
        <w:rPr>
          <w:i/>
          <w:sz w:val="22"/>
          <w:szCs w:val="22"/>
          <w:vertAlign w:val="superscript"/>
        </w:rPr>
        <w:t>st</w:t>
      </w:r>
      <w:r w:rsidRPr="00F07F99">
        <w:rPr>
          <w:i/>
          <w:sz w:val="22"/>
          <w:szCs w:val="22"/>
        </w:rPr>
        <w:t xml:space="preserve"> Century.</w:t>
      </w:r>
      <w:r w:rsidRPr="00F07F99">
        <w:rPr>
          <w:sz w:val="22"/>
          <w:szCs w:val="22"/>
        </w:rPr>
        <w:t xml:space="preserve"> Sagamore Publishing, Champaign, IL </w:t>
      </w:r>
    </w:p>
    <w:p w:rsidR="00F07F99" w:rsidRPr="00F07F99" w:rsidRDefault="00F07F99" w:rsidP="00F07F99">
      <w:pPr>
        <w:rPr>
          <w:sz w:val="22"/>
          <w:szCs w:val="22"/>
        </w:rPr>
      </w:pPr>
    </w:p>
    <w:p w:rsidR="00F07F99" w:rsidRPr="00F07F99" w:rsidRDefault="00F07F99" w:rsidP="00E94478">
      <w:pPr>
        <w:ind w:left="720" w:hanging="720"/>
        <w:rPr>
          <w:sz w:val="22"/>
          <w:szCs w:val="22"/>
        </w:rPr>
      </w:pPr>
      <w:r w:rsidRPr="00F07F99">
        <w:rPr>
          <w:sz w:val="22"/>
          <w:szCs w:val="22"/>
        </w:rPr>
        <w:t xml:space="preserve">McCarville, R.E. (2002). </w:t>
      </w:r>
      <w:r w:rsidRPr="00F07F99">
        <w:rPr>
          <w:i/>
          <w:sz w:val="22"/>
          <w:szCs w:val="22"/>
        </w:rPr>
        <w:t>Improving Leisure Services Through Marketing Action.</w:t>
      </w:r>
      <w:r w:rsidRPr="00F07F99">
        <w:rPr>
          <w:sz w:val="22"/>
          <w:szCs w:val="22"/>
        </w:rPr>
        <w:t xml:space="preserve"> Sagamore Publishing, Champaign, IL. </w:t>
      </w:r>
    </w:p>
    <w:p w:rsidR="00F07F99" w:rsidRPr="00F07F99" w:rsidRDefault="00F07F99" w:rsidP="00F07F99">
      <w:pPr>
        <w:rPr>
          <w:sz w:val="22"/>
          <w:szCs w:val="22"/>
        </w:rPr>
      </w:pPr>
    </w:p>
    <w:p w:rsidR="00F07F99" w:rsidRPr="00F07F99" w:rsidRDefault="00F07F99" w:rsidP="00E94478">
      <w:pPr>
        <w:ind w:left="720" w:hanging="720"/>
        <w:rPr>
          <w:sz w:val="22"/>
          <w:szCs w:val="22"/>
        </w:rPr>
      </w:pPr>
      <w:r w:rsidRPr="00F07F99">
        <w:rPr>
          <w:sz w:val="22"/>
          <w:szCs w:val="22"/>
        </w:rPr>
        <w:t xml:space="preserve">O’Sullivan, E.L. &amp; Spangler, K.J. </w:t>
      </w:r>
      <w:r w:rsidRPr="00F07F99">
        <w:rPr>
          <w:i/>
          <w:sz w:val="22"/>
          <w:szCs w:val="22"/>
        </w:rPr>
        <w:t>Experience Marketing: Strategies for the new Millennium. Venture Publishing</w:t>
      </w:r>
      <w:r w:rsidRPr="00F07F99">
        <w:rPr>
          <w:sz w:val="22"/>
          <w:szCs w:val="22"/>
        </w:rPr>
        <w:t>, State College, PA</w:t>
      </w:r>
    </w:p>
    <w:p w:rsidR="00F07F99" w:rsidRPr="00F07F99" w:rsidRDefault="00F07F99" w:rsidP="00F07F99">
      <w:pPr>
        <w:rPr>
          <w:sz w:val="22"/>
          <w:szCs w:val="22"/>
        </w:rPr>
      </w:pPr>
    </w:p>
    <w:p w:rsidR="00F07F99" w:rsidRPr="00F07F99" w:rsidRDefault="00F07F99" w:rsidP="00E94478">
      <w:pPr>
        <w:ind w:left="720" w:hanging="720"/>
        <w:rPr>
          <w:sz w:val="22"/>
          <w:szCs w:val="22"/>
        </w:rPr>
      </w:pPr>
      <w:r w:rsidRPr="00F07F99">
        <w:rPr>
          <w:sz w:val="22"/>
          <w:szCs w:val="22"/>
        </w:rPr>
        <w:t xml:space="preserve">Pfister, R. E. &amp; Tierney, P.T. (2009). </w:t>
      </w:r>
      <w:r w:rsidRPr="00F07F99">
        <w:rPr>
          <w:i/>
          <w:sz w:val="22"/>
          <w:szCs w:val="22"/>
        </w:rPr>
        <w:t xml:space="preserve">Recreation, Event, and Tourism Businesses: Start up and Sustainable Operations. </w:t>
      </w:r>
      <w:r w:rsidRPr="00F07F99">
        <w:rPr>
          <w:sz w:val="22"/>
          <w:szCs w:val="22"/>
        </w:rPr>
        <w:t xml:space="preserve">Human Kinetics, Champaign, IL. </w:t>
      </w:r>
    </w:p>
    <w:p w:rsidR="00F07F99" w:rsidRPr="00F07F99" w:rsidRDefault="00F07F99" w:rsidP="00F07F99">
      <w:pPr>
        <w:rPr>
          <w:sz w:val="22"/>
          <w:szCs w:val="22"/>
        </w:rPr>
      </w:pPr>
    </w:p>
    <w:p w:rsidR="00F07F99" w:rsidRPr="00345C04" w:rsidRDefault="00F07F99" w:rsidP="00F07F99">
      <w:pPr>
        <w:rPr>
          <w:b/>
          <w:sz w:val="22"/>
          <w:szCs w:val="22"/>
        </w:rPr>
      </w:pPr>
      <w:r w:rsidRPr="00F07F99">
        <w:rPr>
          <w:sz w:val="22"/>
          <w:szCs w:val="22"/>
        </w:rPr>
        <w:t xml:space="preserve">Tribe, J. (2005). </w:t>
      </w:r>
      <w:r w:rsidRPr="00F07F99">
        <w:rPr>
          <w:i/>
          <w:sz w:val="22"/>
          <w:szCs w:val="22"/>
        </w:rPr>
        <w:t>The Economics of Recreation, Leisure and Tourism.</w:t>
      </w:r>
      <w:r w:rsidRPr="00F07F99">
        <w:rPr>
          <w:sz w:val="22"/>
          <w:szCs w:val="22"/>
        </w:rPr>
        <w:t xml:space="preserve"> Elsevier, London, ENG. </w:t>
      </w:r>
    </w:p>
    <w:p w:rsidR="00F76B6B" w:rsidRDefault="00F76B6B">
      <w:pPr>
        <w:rPr>
          <w:sz w:val="22"/>
          <w:szCs w:val="22"/>
        </w:rPr>
      </w:pPr>
    </w:p>
    <w:p w:rsidR="00B865CB" w:rsidRDefault="00B865CB" w:rsidP="00B865CB">
      <w:pPr>
        <w:tabs>
          <w:tab w:val="left" w:pos="1350"/>
        </w:tabs>
        <w:rPr>
          <w:sz w:val="22"/>
          <w:szCs w:val="22"/>
        </w:rPr>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1" w:history="1">
        <w:r>
          <w:rPr>
            <w:rStyle w:val="Hyperlink"/>
          </w:rPr>
          <w:t>Special Accommodations</w:t>
        </w:r>
      </w:hyperlink>
      <w:r>
        <w:t xml:space="preserve">, </w:t>
      </w:r>
      <w:hyperlink r:id="rId12" w:anchor="Misconduct" w:history="1">
        <w:r>
          <w:rPr>
            <w:rStyle w:val="Hyperlink"/>
          </w:rPr>
          <w:t>Academic Misconduct</w:t>
        </w:r>
      </w:hyperlink>
      <w:r>
        <w:t xml:space="preserve">, </w:t>
      </w:r>
      <w:hyperlink r:id="rId13" w:history="1">
        <w:r>
          <w:rPr>
            <w:rStyle w:val="Hyperlink"/>
          </w:rPr>
          <w:t>Religious Beliefs Accommodation</w:t>
        </w:r>
      </w:hyperlink>
      <w:r>
        <w:t xml:space="preserve">, </w:t>
      </w:r>
      <w:hyperlink r:id="rId14" w:history="1">
        <w:r>
          <w:rPr>
            <w:rStyle w:val="Hyperlink"/>
          </w:rPr>
          <w:t>Discrimination</w:t>
        </w:r>
      </w:hyperlink>
      <w:r>
        <w:t xml:space="preserve"> and </w:t>
      </w:r>
      <w:hyperlink r:id="rId15" w:anchor="Misconduct" w:history="1">
        <w:r>
          <w:rPr>
            <w:rStyle w:val="Hyperlink"/>
          </w:rPr>
          <w:t>Absence for University Sponsored Events</w:t>
        </w:r>
      </w:hyperlink>
      <w:r>
        <w:t xml:space="preserve"> (for details please refer to the Schedule of Classes; the </w:t>
      </w:r>
      <w:hyperlink r:id="rId16" w:history="1">
        <w:r>
          <w:rPr>
            <w:rStyle w:val="Hyperlink"/>
          </w:rPr>
          <w:t>“</w:t>
        </w:r>
      </w:hyperlink>
      <w:hyperlink r:id="rId17" w:history="1">
        <w:r>
          <w:rPr>
            <w:rStyle w:val="Hyperlink"/>
          </w:rPr>
          <w:t>Rights and Responsibilities</w:t>
        </w:r>
      </w:hyperlink>
      <w:hyperlink r:id="rId18" w:history="1">
        <w:r>
          <w:rPr>
            <w:rStyle w:val="Hyperlink"/>
          </w:rPr>
          <w:t>”</w:t>
        </w:r>
      </w:hyperlink>
      <w:r>
        <w:t xml:space="preserve"> section of the </w:t>
      </w:r>
      <w:hyperlink r:id="rId19" w:history="1">
        <w:r>
          <w:rPr>
            <w:rStyle w:val="Hyperlink"/>
          </w:rPr>
          <w:t>Undergraduate Catalog</w:t>
        </w:r>
      </w:hyperlink>
      <w:r>
        <w:t xml:space="preserve">; </w:t>
      </w:r>
      <w:hyperlink r:id="rId20" w:anchor="academicinformation" w:history="1">
        <w:r>
          <w:rPr>
            <w:rStyle w:val="Hyperlink"/>
          </w:rPr>
          <w:t>the Academic Requirements</w:t>
        </w:r>
      </w:hyperlink>
      <w:r>
        <w:t xml:space="preserve"> and Policies and the </w:t>
      </w:r>
      <w:hyperlink r:id="rId21" w:anchor="facilitiesandservices" w:history="1">
        <w:r>
          <w:rPr>
            <w:rStyle w:val="Hyperlink"/>
          </w:rPr>
          <w:t>Facilities and Services</w:t>
        </w:r>
      </w:hyperlink>
      <w:r>
        <w:t xml:space="preserve"> sections of the </w:t>
      </w:r>
      <w:hyperlink r:id="rId22" w:history="1">
        <w:r>
          <w:rPr>
            <w:rStyle w:val="Hyperlink"/>
          </w:rPr>
          <w:t>Graduate Catalog</w:t>
        </w:r>
      </w:hyperlink>
      <w:r>
        <w:t>; and the “</w:t>
      </w:r>
      <w:hyperlink r:id="rId23" w:history="1">
        <w:r>
          <w:rPr>
            <w:rStyle w:val="Hyperlink"/>
          </w:rPr>
          <w:t>Student Academic Disciplinary Procedures</w:t>
        </w:r>
      </w:hyperlink>
      <w:r>
        <w:t xml:space="preserve"> (UWS Chapter 14); and the “</w:t>
      </w:r>
      <w:hyperlink r:id="rId24" w:history="1">
        <w:r>
          <w:rPr>
            <w:rStyle w:val="Hyperlink"/>
          </w:rPr>
          <w:t>Student Nonacademic Disciplinary Procedures</w:t>
        </w:r>
      </w:hyperlink>
      <w:r>
        <w:t>" (UWS Chapter 17). </w:t>
      </w:r>
    </w:p>
    <w:p w:rsidR="00B865CB" w:rsidRPr="00B865CB" w:rsidRDefault="00B865CB" w:rsidP="00B865CB">
      <w:pPr>
        <w:ind w:left="360"/>
        <w:rPr>
          <w:sz w:val="22"/>
          <w:szCs w:val="22"/>
        </w:rPr>
      </w:pPr>
    </w:p>
    <w:p w:rsidR="00F76B6B" w:rsidRDefault="00F76B6B" w:rsidP="00B865CB">
      <w:pPr>
        <w:ind w:left="360"/>
      </w:pPr>
    </w:p>
    <w:p w:rsidR="00C6489E" w:rsidRPr="00871F7B" w:rsidRDefault="00C6489E" w:rsidP="00607B9F">
      <w:pPr>
        <w:rPr>
          <w:sz w:val="22"/>
          <w:szCs w:val="22"/>
        </w:rPr>
      </w:pPr>
      <w:r w:rsidRPr="00C6489E">
        <w:rPr>
          <w:sz w:val="22"/>
          <w:szCs w:val="22"/>
        </w:rPr>
        <w:t> </w:t>
      </w:r>
    </w:p>
    <w:sectPr w:rsidR="00C6489E" w:rsidRPr="00871F7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B0" w:rsidRDefault="00D102B0">
      <w:r>
        <w:separator/>
      </w:r>
    </w:p>
  </w:endnote>
  <w:endnote w:type="continuationSeparator" w:id="0">
    <w:p w:rsidR="00D102B0" w:rsidRDefault="00D10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ED42F0">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D42F0">
      <w:rPr>
        <w:rStyle w:val="PageNumber"/>
        <w:noProof/>
        <w:sz w:val="16"/>
      </w:rPr>
      <w:t>3</w:t>
    </w:r>
    <w:r>
      <w:rPr>
        <w:rStyle w:val="PageNumber"/>
        <w:sz w:val="16"/>
      </w:rPr>
      <w:fldChar w:fldCharType="end"/>
    </w: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07FAA" w:rsidRDefault="00107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B0" w:rsidRDefault="00D102B0">
      <w:r>
        <w:separator/>
      </w:r>
    </w:p>
  </w:footnote>
  <w:footnote w:type="continuationSeparator" w:id="0">
    <w:p w:rsidR="00D102B0" w:rsidRDefault="00D10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6">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1C92803"/>
    <w:multiLevelType w:val="hybridMultilevel"/>
    <w:tmpl w:val="628AB8B6"/>
    <w:lvl w:ilvl="0" w:tplc="16144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6BAB555F"/>
    <w:multiLevelType w:val="hybridMultilevel"/>
    <w:tmpl w:val="1D0CCA36"/>
    <w:lvl w:ilvl="0" w:tplc="335EFB8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4547D04"/>
    <w:multiLevelType w:val="hybridMultilevel"/>
    <w:tmpl w:val="B492C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6"/>
  </w:num>
  <w:num w:numId="4">
    <w:abstractNumId w:val="3"/>
  </w:num>
  <w:num w:numId="5">
    <w:abstractNumId w:val="4"/>
  </w:num>
  <w:num w:numId="6">
    <w:abstractNumId w:val="9"/>
  </w:num>
  <w:num w:numId="7">
    <w:abstractNumId w:val="1"/>
  </w:num>
  <w:num w:numId="8">
    <w:abstractNumId w:val="2"/>
  </w:num>
  <w:num w:numId="9">
    <w:abstractNumId w:val="5"/>
  </w:num>
  <w:num w:numId="10">
    <w:abstractNumId w:val="7"/>
  </w:num>
  <w:num w:numId="11">
    <w:abstractNumId w:val="8"/>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D823FA"/>
    <w:rsid w:val="00015896"/>
    <w:rsid w:val="000B45CC"/>
    <w:rsid w:val="000E7D04"/>
    <w:rsid w:val="00102EAB"/>
    <w:rsid w:val="00107FAA"/>
    <w:rsid w:val="001335EF"/>
    <w:rsid w:val="0016388A"/>
    <w:rsid w:val="001B6727"/>
    <w:rsid w:val="001B6FEA"/>
    <w:rsid w:val="002147EC"/>
    <w:rsid w:val="002C2A42"/>
    <w:rsid w:val="002E449C"/>
    <w:rsid w:val="002E45D0"/>
    <w:rsid w:val="00301369"/>
    <w:rsid w:val="00382F18"/>
    <w:rsid w:val="004165D3"/>
    <w:rsid w:val="00420A33"/>
    <w:rsid w:val="004A2CA5"/>
    <w:rsid w:val="004B1D88"/>
    <w:rsid w:val="005533E8"/>
    <w:rsid w:val="005A6E82"/>
    <w:rsid w:val="005E14EE"/>
    <w:rsid w:val="00607B9F"/>
    <w:rsid w:val="00637711"/>
    <w:rsid w:val="006649F4"/>
    <w:rsid w:val="0066701A"/>
    <w:rsid w:val="006C0114"/>
    <w:rsid w:val="006C0797"/>
    <w:rsid w:val="006C5992"/>
    <w:rsid w:val="006D0106"/>
    <w:rsid w:val="0077527E"/>
    <w:rsid w:val="007C4CB2"/>
    <w:rsid w:val="007E495D"/>
    <w:rsid w:val="007F6B0C"/>
    <w:rsid w:val="00803057"/>
    <w:rsid w:val="00830E6D"/>
    <w:rsid w:val="008378F9"/>
    <w:rsid w:val="00850E27"/>
    <w:rsid w:val="00871F7B"/>
    <w:rsid w:val="008A6DE3"/>
    <w:rsid w:val="008B7668"/>
    <w:rsid w:val="008C1EC5"/>
    <w:rsid w:val="008E5822"/>
    <w:rsid w:val="0090570E"/>
    <w:rsid w:val="00923AAB"/>
    <w:rsid w:val="009E6142"/>
    <w:rsid w:val="009F31A5"/>
    <w:rsid w:val="00A071BA"/>
    <w:rsid w:val="00A22C02"/>
    <w:rsid w:val="00A23A18"/>
    <w:rsid w:val="00A31050"/>
    <w:rsid w:val="00A44EDC"/>
    <w:rsid w:val="00AA3709"/>
    <w:rsid w:val="00AB5202"/>
    <w:rsid w:val="00AD3E92"/>
    <w:rsid w:val="00B70DB5"/>
    <w:rsid w:val="00B865CB"/>
    <w:rsid w:val="00BA10A6"/>
    <w:rsid w:val="00BC0392"/>
    <w:rsid w:val="00BD323A"/>
    <w:rsid w:val="00BE05A2"/>
    <w:rsid w:val="00C22584"/>
    <w:rsid w:val="00C3073E"/>
    <w:rsid w:val="00C6014F"/>
    <w:rsid w:val="00C6489E"/>
    <w:rsid w:val="00C85CA6"/>
    <w:rsid w:val="00C91B67"/>
    <w:rsid w:val="00CC54EA"/>
    <w:rsid w:val="00D102B0"/>
    <w:rsid w:val="00D16EF4"/>
    <w:rsid w:val="00D5328E"/>
    <w:rsid w:val="00D741F2"/>
    <w:rsid w:val="00D823FA"/>
    <w:rsid w:val="00D86DF8"/>
    <w:rsid w:val="00D90C94"/>
    <w:rsid w:val="00DB3E95"/>
    <w:rsid w:val="00DB484F"/>
    <w:rsid w:val="00DB4996"/>
    <w:rsid w:val="00E11503"/>
    <w:rsid w:val="00E2167E"/>
    <w:rsid w:val="00E53FE7"/>
    <w:rsid w:val="00E743A6"/>
    <w:rsid w:val="00E94478"/>
    <w:rsid w:val="00EA6757"/>
    <w:rsid w:val="00EB13F2"/>
    <w:rsid w:val="00EC7420"/>
    <w:rsid w:val="00ED42F0"/>
    <w:rsid w:val="00F07F99"/>
    <w:rsid w:val="00F17624"/>
    <w:rsid w:val="00F76B6B"/>
    <w:rsid w:val="00F80658"/>
    <w:rsid w:val="00F92488"/>
    <w:rsid w:val="00FD1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Spacing">
    <w:name w:val="No Spacing"/>
    <w:uiPriority w:val="1"/>
    <w:qFormat/>
    <w:rsid w:val="00F07F99"/>
    <w:rPr>
      <w:rFonts w:ascii="Calibri" w:eastAsia="Calibri" w:hAnsi="Calibri"/>
      <w:sz w:val="22"/>
      <w:szCs w:val="22"/>
    </w:rPr>
  </w:style>
  <w:style w:type="paragraph" w:customStyle="1" w:styleId="Print-FromToSubjectDate">
    <w:name w:val="Print- From: To: Subject: Date:"/>
    <w:basedOn w:val="Normal"/>
    <w:rsid w:val="00C6489E"/>
    <w:pPr>
      <w:pBdr>
        <w:left w:val="single" w:sz="18" w:space="1" w:color="auto"/>
      </w:pBdr>
      <w:autoSpaceDE/>
      <w:autoSpaceDN/>
    </w:pPr>
    <w:rPr>
      <w:sz w:val="24"/>
    </w:rPr>
  </w:style>
</w:styles>
</file>

<file path=word/webSettings.xml><?xml version="1.0" encoding="utf-8"?>
<w:webSettings xmlns:r="http://schemas.openxmlformats.org/officeDocument/2006/relationships" xmlns:w="http://schemas.openxmlformats.org/wordprocessingml/2006/main">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ww.edu/Catalog/02-04/Legal/legal5.html" TargetMode="External"/><Relationship Id="rId18" Type="http://schemas.openxmlformats.org/officeDocument/2006/relationships/hyperlink" Target="http://www.uww.edu/www.uww.edu/Catalog/02-04/Legal/Legal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ww.edu/gradstudies/catalog0608/Gradpolicies.php" TargetMode="External"/><Relationship Id="rId7" Type="http://schemas.openxmlformats.org/officeDocument/2006/relationships/endnotes" Target="endnotes.xml"/><Relationship Id="rId12" Type="http://schemas.openxmlformats.org/officeDocument/2006/relationships/hyperlink" Target="http://www.uww.edu/Catalog/02-04/Legal/legal1.html" TargetMode="External"/><Relationship Id="rId17" Type="http://schemas.openxmlformats.org/officeDocument/2006/relationships/hyperlink" Target="http://www.uww.edu/Catalog/02-04/Legal/Legal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w.edu/www.uww.edu/Catalog/02-04/Legal/Legal1.html" TargetMode="External"/><Relationship Id="rId20" Type="http://schemas.openxmlformats.org/officeDocument/2006/relationships/hyperlink" Target="http://www.uww.edu/gradstudies/catalog0608/Gradpolici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w.edu/StdRsces/csd/academic_index.php" TargetMode="External"/><Relationship Id="rId24" Type="http://schemas.openxmlformats.org/officeDocument/2006/relationships/hyperlink" Target="http://www.uww.edu/stdhdbk/uwsystem.html" TargetMode="External"/><Relationship Id="rId5" Type="http://schemas.openxmlformats.org/officeDocument/2006/relationships/webSettings" Target="webSettings.xml"/><Relationship Id="rId15" Type="http://schemas.openxmlformats.org/officeDocument/2006/relationships/hyperlink" Target="http://www.uww.edu/Catalog/02-04/Legal/legal1.html" TargetMode="External"/><Relationship Id="rId23" Type="http://schemas.openxmlformats.org/officeDocument/2006/relationships/hyperlink" Target="http://www.uww.edu/stdhdbk/uwsystem.html" TargetMode="External"/><Relationship Id="rId10" Type="http://schemas.openxmlformats.org/officeDocument/2006/relationships/hyperlink" Target="http://acadaff.uww.edu/UCC/Curriculum_Handbook_09/Procedures_form3.docx" TargetMode="External"/><Relationship Id="rId19" Type="http://schemas.openxmlformats.org/officeDocument/2006/relationships/hyperlink" Target="http://www.uww.edu/Catalo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ww.edu/Catalog/02-04/Legal/legal6.html" TargetMode="External"/><Relationship Id="rId22" Type="http://schemas.openxmlformats.org/officeDocument/2006/relationships/hyperlink" Target="http://www.uww.edu/gradstudies/catalog0608/gradcat060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1264</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8456</CharactersWithSpaces>
  <SharedDoc>false</SharedDoc>
  <HLinks>
    <vt:vector size="90" baseType="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2621567</vt:i4>
      </vt:variant>
      <vt:variant>
        <vt:i4>126</vt:i4>
      </vt:variant>
      <vt:variant>
        <vt:i4>0</vt:i4>
      </vt:variant>
      <vt:variant>
        <vt:i4>5</vt:i4>
      </vt:variant>
      <vt:variant>
        <vt:lpwstr>http://www.uww.edu/www.uww.edu/Catalog/02-04/Legal/Legal1.html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2621567</vt:i4>
      </vt:variant>
      <vt:variant>
        <vt:i4>120</vt:i4>
      </vt:variant>
      <vt:variant>
        <vt:i4>0</vt:i4>
      </vt:variant>
      <vt:variant>
        <vt:i4>5</vt:i4>
      </vt:variant>
      <vt:variant>
        <vt:lpwstr>http://www.uww.edu/www.uww.edu/Catalog/02-04/Legal/Legal1.html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subject/>
  <dc:creator>Lisa Rowland</dc:creator>
  <cp:keywords/>
  <dc:description/>
  <cp:lastModifiedBy>kinsonl</cp:lastModifiedBy>
  <cp:revision>2</cp:revision>
  <cp:lastPrinted>2011-10-14T16:03:00Z</cp:lastPrinted>
  <dcterms:created xsi:type="dcterms:W3CDTF">2011-10-14T16:17:00Z</dcterms:created>
  <dcterms:modified xsi:type="dcterms:W3CDTF">2011-10-14T16:17:00Z</dcterms:modified>
</cp:coreProperties>
</file>