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bookmarkStart w:id="0" w:name="_GoBack"/>
    <w:p w:rsidR="00C67009" w:rsidRDefault="00D94C9E">
      <w:pPr>
        <w:tabs>
          <w:tab w:val="left" w:pos="5580"/>
        </w:tabs>
        <w:rPr>
          <w:sz w:val="22"/>
        </w:rPr>
      </w:pPr>
      <w:r>
        <w:rPr>
          <w:sz w:val="22"/>
        </w:rPr>
        <w:fldChar w:fldCharType="begin">
          <w:ffData>
            <w:name w:val="Check2"/>
            <w:enabled/>
            <w:calcOnExit w:val="0"/>
            <w:checkBox>
              <w:sizeAuto/>
              <w:default w:val="0"/>
            </w:checkBox>
          </w:ffData>
        </w:fldChar>
      </w:r>
      <w:bookmarkStart w:id="1" w:name="Check2"/>
      <w:r w:rsidR="00F4569A">
        <w:rPr>
          <w:sz w:val="22"/>
        </w:rPr>
        <w:instrText xml:space="preserve"> FORMCHECKBOX </w:instrText>
      </w:r>
      <w:r>
        <w:rPr>
          <w:sz w:val="22"/>
        </w:rPr>
      </w:r>
      <w:r>
        <w:rPr>
          <w:sz w:val="22"/>
        </w:rPr>
        <w:fldChar w:fldCharType="end"/>
      </w:r>
      <w:bookmarkEnd w:id="1"/>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2" w:name="Check7"/>
      <w:r w:rsidR="00F4569A">
        <w:rPr>
          <w:sz w:val="22"/>
        </w:rPr>
        <w:instrText xml:space="preserve"> FORMCHECKBOX </w:instrText>
      </w:r>
      <w:r>
        <w:rPr>
          <w:sz w:val="22"/>
        </w:rPr>
      </w:r>
      <w:r>
        <w:rPr>
          <w:sz w:val="22"/>
        </w:rPr>
        <w:fldChar w:fldCharType="end"/>
      </w:r>
      <w:bookmarkEnd w:id="2"/>
      <w:r w:rsidR="00F4569A">
        <w:rPr>
          <w:sz w:val="22"/>
        </w:rPr>
        <w:t xml:space="preserve">  Grade Basis</w:t>
      </w:r>
    </w:p>
    <w:p w:rsidR="00C67009" w:rsidRDefault="00D94C9E">
      <w:pPr>
        <w:tabs>
          <w:tab w:val="left" w:pos="5580"/>
        </w:tabs>
        <w:rPr>
          <w:sz w:val="22"/>
        </w:rPr>
      </w:pPr>
      <w:r>
        <w:rPr>
          <w:sz w:val="22"/>
        </w:rPr>
        <w:fldChar w:fldCharType="begin">
          <w:ffData>
            <w:name w:val="Check6"/>
            <w:enabled/>
            <w:calcOnExit w:val="0"/>
            <w:checkBox>
              <w:sizeAuto/>
              <w:default w:val="0"/>
              <w:checked/>
            </w:checkBox>
          </w:ffData>
        </w:fldChar>
      </w:r>
      <w:bookmarkStart w:id="3" w:name="Check6"/>
      <w:r w:rsidR="008F1D35">
        <w:rPr>
          <w:sz w:val="22"/>
        </w:rPr>
        <w:instrText xml:space="preserve"> FORMCHECKBOX </w:instrText>
      </w:r>
      <w:r>
        <w:rPr>
          <w:sz w:val="22"/>
        </w:rPr>
      </w:r>
      <w:r>
        <w:rPr>
          <w:sz w:val="22"/>
        </w:rPr>
        <w:fldChar w:fldCharType="end"/>
      </w:r>
      <w:bookmarkEnd w:id="3"/>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4" w:name="Check10"/>
      <w:r w:rsidR="00F4569A">
        <w:rPr>
          <w:sz w:val="22"/>
        </w:rPr>
        <w:instrText xml:space="preserve"> FORMCHECKBOX </w:instrText>
      </w:r>
      <w:r>
        <w:rPr>
          <w:sz w:val="22"/>
        </w:rPr>
      </w:r>
      <w:r>
        <w:rPr>
          <w:sz w:val="22"/>
        </w:rPr>
        <w:fldChar w:fldCharType="end"/>
      </w:r>
      <w:bookmarkEnd w:id="4"/>
      <w:r w:rsidR="00F4569A">
        <w:rPr>
          <w:sz w:val="22"/>
        </w:rPr>
        <w:t xml:space="preserve">  Repeatability Change</w:t>
      </w:r>
    </w:p>
    <w:p w:rsidR="00FA788C" w:rsidRPr="008F1D35" w:rsidRDefault="00D94C9E" w:rsidP="008F1D35">
      <w:pPr>
        <w:tabs>
          <w:tab w:val="left" w:pos="5580"/>
        </w:tabs>
        <w:rPr>
          <w:sz w:val="22"/>
        </w:rPr>
      </w:pPr>
      <w:r>
        <w:rPr>
          <w:sz w:val="22"/>
        </w:rPr>
        <w:fldChar w:fldCharType="begin">
          <w:ffData>
            <w:name w:val="Check11"/>
            <w:enabled/>
            <w:calcOnExit w:val="0"/>
            <w:checkBox>
              <w:sizeAuto/>
              <w:default w:val="0"/>
            </w:checkBox>
          </w:ffData>
        </w:fldChar>
      </w:r>
      <w:bookmarkStart w:id="5" w:name="Check11"/>
      <w:r w:rsidR="008F1D35">
        <w:rPr>
          <w:sz w:val="22"/>
        </w:rPr>
        <w:instrText xml:space="preserve"> FORMCHECKBOX </w:instrText>
      </w:r>
      <w:r>
        <w:rPr>
          <w:sz w:val="22"/>
        </w:rPr>
      </w:r>
      <w:r>
        <w:rPr>
          <w:sz w:val="22"/>
        </w:rPr>
        <w:fldChar w:fldCharType="end"/>
      </w:r>
      <w:bookmarkEnd w:id="5"/>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Box>
          </w:ffData>
        </w:fldChar>
      </w:r>
      <w:bookmarkStart w:id="6" w:name="Check15"/>
      <w:r w:rsidR="00AF36A7">
        <w:rPr>
          <w:sz w:val="22"/>
        </w:rPr>
        <w:instrText xml:space="preserve"> FORMCHECKBOX </w:instrText>
      </w:r>
      <w:r>
        <w:rPr>
          <w:sz w:val="22"/>
        </w:rPr>
      </w:r>
      <w:r>
        <w:rPr>
          <w:sz w:val="22"/>
        </w:rPr>
        <w:fldChar w:fldCharType="end"/>
      </w:r>
      <w:bookmarkEnd w:id="6"/>
      <w:r w:rsidR="00AF36A7">
        <w:rPr>
          <w:sz w:val="22"/>
        </w:rPr>
        <w:t xml:space="preserve">  Other:  </w:t>
      </w:r>
      <w:r>
        <w:rPr>
          <w:sz w:val="22"/>
        </w:rPr>
        <w:fldChar w:fldCharType="begin">
          <w:ffData>
            <w:name w:val="Text1"/>
            <w:enabled/>
            <w:calcOnExit w:val="0"/>
            <w:textInput/>
          </w:ffData>
        </w:fldChar>
      </w:r>
      <w:bookmarkStart w:id="7" w:name="Text1"/>
      <w:r w:rsidR="00AF36A7">
        <w:rPr>
          <w:sz w:val="22"/>
        </w:rPr>
        <w:instrText xml:space="preserve"> FORMTEXT </w:instrText>
      </w:r>
      <w:r>
        <w:rPr>
          <w:sz w:val="22"/>
        </w:rPr>
      </w:r>
      <w:r>
        <w:rPr>
          <w:sz w:val="22"/>
        </w:rPr>
        <w:fldChar w:fldCharType="separate"/>
      </w:r>
      <w:r w:rsidR="00AF36A7">
        <w:rPr>
          <w:noProof/>
          <w:sz w:val="22"/>
        </w:rPr>
        <w:t> </w:t>
      </w:r>
      <w:r w:rsidR="00AF36A7">
        <w:rPr>
          <w:noProof/>
          <w:sz w:val="22"/>
        </w:rPr>
        <w:t> </w:t>
      </w:r>
      <w:r w:rsidR="00AF36A7">
        <w:rPr>
          <w:noProof/>
          <w:sz w:val="22"/>
        </w:rPr>
        <w:t> </w:t>
      </w:r>
      <w:r w:rsidR="00AF36A7">
        <w:rPr>
          <w:noProof/>
          <w:sz w:val="22"/>
        </w:rPr>
        <w:t> </w:t>
      </w:r>
      <w:r w:rsidR="00AF36A7">
        <w:rPr>
          <w:noProof/>
          <w:sz w:val="22"/>
        </w:rPr>
        <w:t> </w:t>
      </w:r>
      <w:r>
        <w:rPr>
          <w:sz w:val="22"/>
        </w:rPr>
        <w:fldChar w:fldCharType="end"/>
      </w:r>
      <w:bookmarkEnd w:id="7"/>
      <w:r w:rsidR="00AF36A7">
        <w:rPr>
          <w:sz w:val="22"/>
        </w:rPr>
        <w:tab/>
      </w:r>
    </w:p>
    <w:p w:rsidR="008F1D35" w:rsidRDefault="00D94C9E" w:rsidP="008F1D35">
      <w:pPr>
        <w:tabs>
          <w:tab w:val="left" w:pos="5580"/>
        </w:tabs>
        <w:rPr>
          <w:sz w:val="22"/>
        </w:rPr>
      </w:pPr>
      <w:r>
        <w:rPr>
          <w:sz w:val="22"/>
        </w:rPr>
        <w:fldChar w:fldCharType="begin">
          <w:ffData>
            <w:name w:val="Check12"/>
            <w:enabled/>
            <w:calcOnExit w:val="0"/>
            <w:checkBox>
              <w:sizeAuto/>
              <w:default w:val="0"/>
            </w:checkBox>
          </w:ffData>
        </w:fldChar>
      </w:r>
      <w:bookmarkStart w:id="8" w:name="Check12"/>
      <w:r w:rsidR="008F1D35">
        <w:rPr>
          <w:sz w:val="22"/>
        </w:rPr>
        <w:instrText xml:space="preserve"> FORMCHECKBOX </w:instrText>
      </w:r>
      <w:r>
        <w:rPr>
          <w:sz w:val="22"/>
        </w:rPr>
      </w:r>
      <w:r>
        <w:rPr>
          <w:sz w:val="22"/>
        </w:rPr>
        <w:fldChar w:fldCharType="end"/>
      </w:r>
      <w:bookmarkEnd w:id="8"/>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D94C9E">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Pr>
          <w:sz w:val="22"/>
        </w:rPr>
        <w:instrText xml:space="preserve"> FORMDROPDOWN </w:instrText>
      </w:r>
      <w:r w:rsidR="00D94C9E">
        <w:rPr>
          <w:sz w:val="22"/>
        </w:rPr>
      </w:r>
      <w:r w:rsidR="00D94C9E">
        <w:rPr>
          <w:sz w:val="22"/>
        </w:rPr>
        <w:fldChar w:fldCharType="end"/>
      </w:r>
      <w:bookmarkEnd w:id="9"/>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0" w:name="Dropdown2"/>
      <w:r w:rsidR="00D94C9E">
        <w:rPr>
          <w:sz w:val="22"/>
        </w:rPr>
        <w:fldChar w:fldCharType="begin">
          <w:ffData>
            <w:name w:val="Dropdown2"/>
            <w:enabled/>
            <w:calcOnExit w:val="0"/>
            <w:ddList>
              <w:result w:val="10"/>
              <w:listEntry w:val="{Select from drop down list}"/>
              <w:listEntry w:val="2103  (Summer 2010)"/>
              <w:listEntry w:val="2107  (Fall 2010)"/>
              <w:listEntry w:val="2110  (Winterim 2011)"/>
              <w:listEntry w:val="2111  (Spring 2011)"/>
              <w:listEntry w:val="2113  (Summer 2011)"/>
              <w:listEntry w:val="2117  (Fall 2011)"/>
              <w:listEntry w:val="2120  (Wimterim 2012)"/>
              <w:listEntry w:val="2121  (Spring 2012)"/>
              <w:listEntry w:val="2123  (Summer 2012)"/>
              <w:listEntry w:val="2127  (Fall 2012)"/>
            </w:ddList>
          </w:ffData>
        </w:fldChar>
      </w:r>
      <w:r w:rsidR="00D551EB">
        <w:rPr>
          <w:sz w:val="22"/>
        </w:rPr>
        <w:instrText xml:space="preserve"> FORMDROPDOWN </w:instrText>
      </w:r>
      <w:r w:rsidR="00D94C9E">
        <w:rPr>
          <w:sz w:val="22"/>
        </w:rPr>
      </w:r>
      <w:r w:rsidR="00D94C9E">
        <w:rPr>
          <w:sz w:val="22"/>
        </w:rPr>
        <w:fldChar w:fldCharType="end"/>
      </w:r>
      <w:bookmarkEnd w:id="10"/>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D94C9E">
        <w:rPr>
          <w:sz w:val="22"/>
        </w:rPr>
        <w:fldChar w:fldCharType="begin">
          <w:ffData>
            <w:name w:val="Text8"/>
            <w:enabled/>
            <w:calcOnExit w:val="0"/>
            <w:textInput/>
          </w:ffData>
        </w:fldChar>
      </w:r>
      <w:bookmarkStart w:id="11" w:name="Text8"/>
      <w:r w:rsidR="00C67009">
        <w:rPr>
          <w:sz w:val="22"/>
        </w:rPr>
        <w:instrText xml:space="preserve"> FORMTEXT </w:instrText>
      </w:r>
      <w:r w:rsidR="00D94C9E">
        <w:rPr>
          <w:sz w:val="22"/>
        </w:rPr>
      </w:r>
      <w:r w:rsidR="00D94C9E">
        <w:rPr>
          <w:sz w:val="22"/>
        </w:rPr>
        <w:fldChar w:fldCharType="separate"/>
      </w:r>
      <w:r w:rsidR="00724E38">
        <w:rPr>
          <w:noProof/>
          <w:sz w:val="22"/>
        </w:rPr>
        <w:t>757</w:t>
      </w:r>
      <w:r w:rsidR="00D94C9E">
        <w:rPr>
          <w:sz w:val="22"/>
        </w:rPr>
        <w:fldChar w:fldCharType="end"/>
      </w:r>
      <w:bookmarkEnd w:id="11"/>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D94C9E">
        <w:rPr>
          <w:sz w:val="22"/>
        </w:rPr>
        <w:fldChar w:fldCharType="begin">
          <w:ffData>
            <w:name w:val="Text13"/>
            <w:enabled/>
            <w:calcOnExit w:val="0"/>
            <w:textInput/>
          </w:ffData>
        </w:fldChar>
      </w:r>
      <w:bookmarkStart w:id="12" w:name="Text13"/>
      <w:r>
        <w:rPr>
          <w:sz w:val="22"/>
        </w:rPr>
        <w:instrText xml:space="preserve"> FORMTEXT </w:instrText>
      </w:r>
      <w:r w:rsidR="00D94C9E">
        <w:rPr>
          <w:sz w:val="22"/>
        </w:rPr>
      </w:r>
      <w:r w:rsidR="00D94C9E">
        <w:rPr>
          <w:sz w:val="22"/>
        </w:rPr>
        <w:fldChar w:fldCharType="separate"/>
      </w:r>
      <w:r w:rsidR="00724E38">
        <w:rPr>
          <w:noProof/>
          <w:sz w:val="22"/>
        </w:rPr>
        <w:t>Issues in Financial Accounting</w:t>
      </w:r>
      <w:r w:rsidR="00D94C9E">
        <w:rPr>
          <w:sz w:val="22"/>
        </w:rPr>
        <w:fldChar w:fldCharType="end"/>
      </w:r>
      <w:bookmarkEnd w:id="12"/>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D94C9E">
        <w:rPr>
          <w:sz w:val="22"/>
        </w:rPr>
        <w:fldChar w:fldCharType="begin">
          <w:ffData>
            <w:name w:val="Text15"/>
            <w:enabled/>
            <w:calcOnExit w:val="0"/>
            <w:textInput/>
          </w:ffData>
        </w:fldChar>
      </w:r>
      <w:bookmarkStart w:id="13" w:name="Text15"/>
      <w:r>
        <w:rPr>
          <w:sz w:val="22"/>
        </w:rPr>
        <w:instrText xml:space="preserve"> FORMTEXT </w:instrText>
      </w:r>
      <w:r w:rsidR="00D94C9E">
        <w:rPr>
          <w:sz w:val="22"/>
        </w:rPr>
      </w:r>
      <w:r w:rsidR="00D94C9E">
        <w:rPr>
          <w:sz w:val="22"/>
        </w:rPr>
        <w:fldChar w:fldCharType="separate"/>
      </w:r>
      <w:r w:rsidR="006261F5">
        <w:rPr>
          <w:sz w:val="22"/>
        </w:rPr>
        <w:t>Carol J. Normand</w:t>
      </w:r>
      <w:r w:rsidR="00D94C9E">
        <w:rPr>
          <w:sz w:val="22"/>
        </w:rPr>
        <w:fldChar w:fldCharType="end"/>
      </w:r>
      <w:bookmarkEnd w:id="13"/>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D94C9E">
        <w:rPr>
          <w:sz w:val="22"/>
        </w:rPr>
        <w:fldChar w:fldCharType="begin">
          <w:ffData>
            <w:name w:val="Text16"/>
            <w:enabled/>
            <w:calcOnExit w:val="0"/>
            <w:textInput/>
          </w:ffData>
        </w:fldChar>
      </w:r>
      <w:bookmarkStart w:id="14" w:name="Text16"/>
      <w:r>
        <w:rPr>
          <w:sz w:val="22"/>
        </w:rPr>
        <w:instrText xml:space="preserve"> FORMTEXT </w:instrText>
      </w:r>
      <w:r w:rsidR="00D94C9E">
        <w:rPr>
          <w:sz w:val="22"/>
        </w:rPr>
      </w:r>
      <w:r w:rsidR="00D94C9E">
        <w:rPr>
          <w:sz w:val="22"/>
        </w:rPr>
        <w:fldChar w:fldCharType="separate"/>
      </w:r>
      <w:r w:rsidR="00FC1857">
        <w:rPr>
          <w:noProof/>
          <w:sz w:val="22"/>
        </w:rPr>
        <w:t>Accounting</w:t>
      </w:r>
      <w:r w:rsidR="00D94C9E">
        <w:rPr>
          <w:sz w:val="22"/>
        </w:rPr>
        <w:fldChar w:fldCharType="end"/>
      </w:r>
      <w:bookmarkEnd w:id="14"/>
    </w:p>
    <w:p w:rsidR="00C67009" w:rsidRDefault="00C67009" w:rsidP="000008B9">
      <w:pPr>
        <w:tabs>
          <w:tab w:val="left" w:pos="1800"/>
        </w:tabs>
        <w:rPr>
          <w:sz w:val="22"/>
        </w:rPr>
      </w:pPr>
      <w:r>
        <w:rPr>
          <w:b/>
          <w:bCs/>
          <w:sz w:val="22"/>
        </w:rPr>
        <w:t>College(s):</w:t>
      </w:r>
      <w:r>
        <w:rPr>
          <w:sz w:val="22"/>
        </w:rPr>
        <w:t xml:space="preserve">        </w:t>
      </w:r>
      <w:r>
        <w:rPr>
          <w:sz w:val="22"/>
        </w:rPr>
        <w:tab/>
      </w:r>
      <w:bookmarkStart w:id="15" w:name="Dropdown3"/>
      <w:r w:rsidR="00D94C9E">
        <w:rPr>
          <w:sz w:val="22"/>
        </w:rPr>
        <w:fldChar w:fldCharType="begin">
          <w:ffData>
            <w:name w:val="Dropdown3"/>
            <w:enabled/>
            <w:calcOnExit w:val="0"/>
            <w:ddList>
              <w:result w:val="2"/>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D94C9E">
        <w:rPr>
          <w:sz w:val="22"/>
        </w:rPr>
      </w:r>
      <w:r w:rsidR="00D94C9E">
        <w:rPr>
          <w:sz w:val="22"/>
        </w:rPr>
        <w:fldChar w:fldCharType="end"/>
      </w:r>
      <w:bookmarkEnd w:id="15"/>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D94C9E">
      <w:pPr>
        <w:widowControl w:val="0"/>
        <w:tabs>
          <w:tab w:val="left" w:pos="2880"/>
        </w:tabs>
        <w:rPr>
          <w:b/>
          <w:bCs/>
          <w:sz w:val="22"/>
        </w:rPr>
      </w:pPr>
      <w:r>
        <w:rPr>
          <w:b/>
          <w:bCs/>
          <w:sz w:val="22"/>
        </w:rPr>
        <w:fldChar w:fldCharType="begin">
          <w:ffData>
            <w:name w:val="Text19"/>
            <w:enabled/>
            <w:calcOnExit w:val="0"/>
            <w:textInput/>
          </w:ffData>
        </w:fldChar>
      </w:r>
      <w:bookmarkStart w:id="16" w:name="Text19"/>
      <w:r w:rsidR="00C67009">
        <w:rPr>
          <w:b/>
          <w:bCs/>
          <w:sz w:val="22"/>
        </w:rPr>
        <w:instrText xml:space="preserve"> FORMTEXT </w:instrText>
      </w:r>
      <w:r>
        <w:rPr>
          <w:b/>
          <w:bCs/>
          <w:sz w:val="22"/>
        </w:rPr>
      </w:r>
      <w:r>
        <w:rPr>
          <w:b/>
          <w:bCs/>
          <w:sz w:val="22"/>
        </w:rPr>
        <w:fldChar w:fldCharType="separate"/>
      </w:r>
      <w:r w:rsidR="00405301">
        <w:rPr>
          <w:b/>
          <w:bCs/>
          <w:noProof/>
          <w:sz w:val="22"/>
        </w:rPr>
        <w:t>MPA</w:t>
      </w:r>
      <w:r>
        <w:rPr>
          <w:b/>
          <w:bCs/>
          <w:sz w:val="22"/>
        </w:rPr>
        <w:fldChar w:fldCharType="end"/>
      </w:r>
      <w:bookmarkEnd w:id="16"/>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D94C9E">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Pr="000440F3" w:rsidRDefault="00C67009">
      <w:pPr>
        <w:ind w:left="1080"/>
        <w:rPr>
          <w:b/>
          <w:bCs/>
          <w:iCs/>
          <w:sz w:val="22"/>
        </w:rPr>
      </w:pPr>
      <w:r>
        <w:rPr>
          <w:b/>
          <w:bCs/>
          <w:i/>
          <w:iCs/>
          <w:sz w:val="22"/>
        </w:rPr>
        <w:t>FROM:</w:t>
      </w:r>
    </w:p>
    <w:p w:rsidR="00C67009" w:rsidRDefault="00C67009">
      <w:pPr>
        <w:ind w:left="1080"/>
        <w:rPr>
          <w:sz w:val="22"/>
        </w:rPr>
      </w:pPr>
    </w:p>
    <w:p w:rsidR="000440F3" w:rsidRDefault="00724E38">
      <w:pPr>
        <w:ind w:left="1080"/>
        <w:rPr>
          <w:sz w:val="22"/>
        </w:rPr>
      </w:pPr>
      <w:r>
        <w:rPr>
          <w:sz w:val="22"/>
        </w:rPr>
        <w:t>Issues in Financial Accounting</w:t>
      </w:r>
      <w:r w:rsidR="000440F3">
        <w:rPr>
          <w:sz w:val="22"/>
        </w:rPr>
        <w:t xml:space="preserve"> – 4 credits</w:t>
      </w:r>
    </w:p>
    <w:p w:rsidR="00C67009" w:rsidRDefault="00C67009">
      <w:pPr>
        <w:ind w:left="1080"/>
        <w:rPr>
          <w:sz w:val="22"/>
        </w:rPr>
      </w:pPr>
    </w:p>
    <w:p w:rsidR="00C67009" w:rsidRDefault="00C67009">
      <w:pPr>
        <w:ind w:left="1080"/>
        <w:rPr>
          <w:b/>
          <w:bCs/>
          <w:i/>
          <w:iCs/>
          <w:sz w:val="22"/>
        </w:rPr>
      </w:pPr>
      <w:r>
        <w:rPr>
          <w:b/>
          <w:bCs/>
          <w:i/>
          <w:iCs/>
          <w:sz w:val="22"/>
        </w:rPr>
        <w:t>TO:</w:t>
      </w:r>
    </w:p>
    <w:p w:rsidR="00C67009" w:rsidRDefault="00C67009">
      <w:pPr>
        <w:ind w:left="1080"/>
        <w:rPr>
          <w:sz w:val="22"/>
        </w:rPr>
      </w:pPr>
    </w:p>
    <w:p w:rsidR="000440F3" w:rsidRDefault="00724E38" w:rsidP="000440F3">
      <w:pPr>
        <w:ind w:left="1080"/>
        <w:rPr>
          <w:sz w:val="22"/>
        </w:rPr>
      </w:pPr>
      <w:r>
        <w:rPr>
          <w:sz w:val="22"/>
        </w:rPr>
        <w:t xml:space="preserve">Issues in Financial </w:t>
      </w:r>
      <w:r w:rsidR="00D21B8F">
        <w:rPr>
          <w:sz w:val="22"/>
        </w:rPr>
        <w:t>Accounting –</w:t>
      </w:r>
      <w:r w:rsidR="000440F3">
        <w:rPr>
          <w:sz w:val="22"/>
        </w:rPr>
        <w:t xml:space="preserve"> 3 credits</w:t>
      </w:r>
    </w:p>
    <w:p w:rsidR="000440F3" w:rsidRDefault="000440F3">
      <w:pPr>
        <w:rPr>
          <w:sz w:val="22"/>
        </w:rPr>
      </w:pPr>
      <w:r>
        <w:rPr>
          <w:sz w:val="22"/>
        </w:rPr>
        <w:br w:type="page"/>
      </w:r>
    </w:p>
    <w:p w:rsidR="00C67009" w:rsidRDefault="00C67009">
      <w:pPr>
        <w:pStyle w:val="Heading2"/>
      </w:pPr>
      <w:r>
        <w:lastRenderedPageBreak/>
        <w:t>Justification for action</w:t>
      </w:r>
    </w:p>
    <w:p w:rsidR="000440F3" w:rsidRPr="000440F3" w:rsidRDefault="000440F3" w:rsidP="000440F3"/>
    <w:p w:rsidR="00D21B8F" w:rsidRDefault="000440F3">
      <w:pPr>
        <w:ind w:left="1080"/>
      </w:pPr>
      <w:r w:rsidRPr="000440F3">
        <w:t xml:space="preserve">The </w:t>
      </w:r>
      <w:r w:rsidR="006102A6">
        <w:t>original MPA course sequence included three 4-unit courses:</w:t>
      </w:r>
      <w:r w:rsidR="006102A6" w:rsidRPr="006102A6">
        <w:t xml:space="preserve"> </w:t>
      </w:r>
      <w:r w:rsidR="006102A6">
        <w:t xml:space="preserve">ACCT 756, ACCT 757, and ACCT 781.  This </w:t>
      </w:r>
      <w:r w:rsidR="00724E38">
        <w:t xml:space="preserve">3-course </w:t>
      </w:r>
      <w:r w:rsidR="006102A6">
        <w:t xml:space="preserve">4-unit model has not worked.  </w:t>
      </w:r>
      <w:r w:rsidR="00724E38">
        <w:t>Beginning in</w:t>
      </w:r>
      <w:r w:rsidR="00724E38" w:rsidRPr="000440F3">
        <w:t xml:space="preserve"> </w:t>
      </w:r>
      <w:r w:rsidR="00724E38">
        <w:t>Spring 2012</w:t>
      </w:r>
      <w:r w:rsidR="006D52D7" w:rsidRPr="000440F3">
        <w:t> </w:t>
      </w:r>
      <w:r w:rsidR="006D52D7">
        <w:t>the</w:t>
      </w:r>
      <w:r w:rsidR="00724E38">
        <w:t xml:space="preserve"> number of units for </w:t>
      </w:r>
      <w:r w:rsidR="00724E38" w:rsidRPr="000440F3">
        <w:t xml:space="preserve">ACCOUNT </w:t>
      </w:r>
      <w:r w:rsidR="00724E38">
        <w:t xml:space="preserve">781 has been reduced from 4-units to 3-units.  This has created an imbalance </w:t>
      </w:r>
      <w:r w:rsidR="00D21B8F">
        <w:t>of one unit</w:t>
      </w:r>
      <w:r w:rsidR="006102A6">
        <w:t xml:space="preserve"> in the MPA course sequence.</w:t>
      </w:r>
    </w:p>
    <w:p w:rsidR="00C67009" w:rsidRDefault="00D21B8F">
      <w:pPr>
        <w:ind w:left="1080"/>
      </w:pPr>
      <w:r>
        <w:t>W</w:t>
      </w:r>
      <w:r w:rsidR="000440F3" w:rsidRPr="000440F3">
        <w:t xml:space="preserve">e are proposing a return </w:t>
      </w:r>
      <w:r w:rsidR="006102A6">
        <w:t xml:space="preserve">from 4-units </w:t>
      </w:r>
      <w:r w:rsidR="000440F3" w:rsidRPr="000440F3">
        <w:t xml:space="preserve">to 3-unit </w:t>
      </w:r>
      <w:r>
        <w:t xml:space="preserve">for </w:t>
      </w:r>
      <w:r w:rsidR="00076986">
        <w:t>ACCT 757</w:t>
      </w:r>
      <w:r w:rsidR="000440F3" w:rsidRPr="000440F3">
        <w:t xml:space="preserve"> to </w:t>
      </w:r>
      <w:r w:rsidR="006102A6">
        <w:t xml:space="preserve">address the imbalance in the MPA course sequence and </w:t>
      </w:r>
      <w:r w:rsidR="000440F3" w:rsidRPr="000440F3">
        <w:t>make program planning easier and more flexible for our students.</w:t>
      </w:r>
    </w:p>
    <w:p w:rsidR="000440F3" w:rsidRDefault="000440F3">
      <w:pPr>
        <w:ind w:left="1080"/>
      </w:pPr>
    </w:p>
    <w:p w:rsidR="00C67009" w:rsidRDefault="00C67009">
      <w:pPr>
        <w:ind w:left="360"/>
        <w:rPr>
          <w:sz w:val="22"/>
        </w:rPr>
      </w:pPr>
    </w:p>
    <w:p w:rsidR="00C67009"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tbl>
      <w:tblPr>
        <w:tblW w:w="8129" w:type="dxa"/>
        <w:tblInd w:w="93" w:type="dxa"/>
        <w:tblLook w:val="04A0" w:firstRow="1" w:lastRow="0" w:firstColumn="1" w:lastColumn="0" w:noHBand="0" w:noVBand="1"/>
      </w:tblPr>
      <w:tblGrid>
        <w:gridCol w:w="400"/>
        <w:gridCol w:w="400"/>
        <w:gridCol w:w="400"/>
        <w:gridCol w:w="3132"/>
        <w:gridCol w:w="1000"/>
        <w:gridCol w:w="1797"/>
        <w:gridCol w:w="1000"/>
      </w:tblGrid>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797"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7329" w:type="dxa"/>
            <w:gridSpan w:val="5"/>
            <w:tcBorders>
              <w:top w:val="nil"/>
              <w:left w:val="nil"/>
              <w:bottom w:val="nil"/>
              <w:right w:val="nil"/>
            </w:tcBorders>
            <w:shd w:val="clear" w:color="auto" w:fill="auto"/>
            <w:noWrap/>
            <w:vAlign w:val="bottom"/>
            <w:hideMark/>
          </w:tcPr>
          <w:p w:rsidR="009F4D3B" w:rsidRPr="009F4D3B" w:rsidRDefault="009F4D3B" w:rsidP="009F4D3B">
            <w:pPr>
              <w:rPr>
                <w:rFonts w:ascii="Geneva" w:hAnsi="Geneva"/>
                <w:b/>
                <w:bCs/>
                <w:sz w:val="20"/>
                <w:szCs w:val="20"/>
              </w:rPr>
            </w:pPr>
            <w:r w:rsidRPr="009F4D3B">
              <w:rPr>
                <w:rFonts w:ascii="Geneva" w:hAnsi="Geneva"/>
                <w:b/>
                <w:bCs/>
                <w:sz w:val="20"/>
                <w:szCs w:val="20"/>
              </w:rPr>
              <w:t>ACCOUNT 757 - Issues in Financial Accounting</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797"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single" w:sz="4" w:space="0" w:color="auto"/>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1797" w:type="dxa"/>
            <w:tcBorders>
              <w:top w:val="single" w:sz="4" w:space="0" w:color="auto"/>
              <w:left w:val="nil"/>
              <w:bottom w:val="nil"/>
              <w:right w:val="nil"/>
            </w:tcBorders>
            <w:shd w:val="clear" w:color="auto" w:fill="auto"/>
            <w:noWrap/>
            <w:vAlign w:val="bottom"/>
            <w:hideMark/>
          </w:tcPr>
          <w:p w:rsidR="009F4D3B" w:rsidRPr="009F4D3B" w:rsidRDefault="009F4D3B" w:rsidP="009F4D3B">
            <w:pPr>
              <w:jc w:val="center"/>
              <w:rPr>
                <w:rFonts w:ascii="Geneva" w:hAnsi="Geneva"/>
                <w:b/>
                <w:bCs/>
                <w:sz w:val="20"/>
                <w:szCs w:val="20"/>
              </w:rPr>
            </w:pPr>
            <w:r w:rsidRPr="009F4D3B">
              <w:rPr>
                <w:rFonts w:ascii="Geneva" w:hAnsi="Geneva"/>
                <w:b/>
                <w:bCs/>
                <w:sz w:val="20"/>
                <w:szCs w:val="20"/>
              </w:rPr>
              <w:t>Suggested Budget</w:t>
            </w:r>
          </w:p>
        </w:tc>
        <w:tc>
          <w:tcPr>
            <w:tcW w:w="1000" w:type="dxa"/>
            <w:tcBorders>
              <w:top w:val="single" w:sz="4" w:space="0" w:color="auto"/>
              <w:left w:val="nil"/>
              <w:bottom w:val="nil"/>
              <w:right w:val="single" w:sz="4" w:space="0" w:color="auto"/>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1797" w:type="dxa"/>
            <w:tcBorders>
              <w:top w:val="nil"/>
              <w:left w:val="nil"/>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75 minute periods</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3 credit</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4 credit</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version</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version</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Administration (Syllabus, Evaluation)</w:t>
            </w:r>
          </w:p>
        </w:tc>
        <w:tc>
          <w:tcPr>
            <w:tcW w:w="1000" w:type="dxa"/>
            <w:tcBorders>
              <w:top w:val="single" w:sz="4" w:space="0" w:color="auto"/>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1</w:t>
            </w:r>
          </w:p>
        </w:tc>
        <w:tc>
          <w:tcPr>
            <w:tcW w:w="1797" w:type="dxa"/>
            <w:tcBorders>
              <w:top w:val="single" w:sz="4" w:space="0" w:color="auto"/>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1</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Administration of Exams and Reviewing</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3</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4</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Finacial self-inventory exam (un-graded)</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1</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1</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Earnings Per Share (SFAS #128)</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5</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5</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Revenue Recognition Models</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7</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7</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1</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Discovery</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2</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Accretion</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3</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Effort</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4</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Completion</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5</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Full Accrual</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6</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Installment</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single" w:sz="4" w:space="0" w:color="auto"/>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7</w:t>
            </w:r>
          </w:p>
        </w:tc>
        <w:tc>
          <w:tcPr>
            <w:tcW w:w="3132" w:type="dxa"/>
            <w:tcBorders>
              <w:top w:val="nil"/>
              <w:left w:val="nil"/>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Cost Recovery</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Special Cases of Revenue Recognition</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7</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7</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1</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Service Revenue</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2</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Right of Return</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3</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Consignment</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4</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Sales-Leaseback</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5</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Real Estate</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6</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Real Estate Leases</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7</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Franchises</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single" w:sz="4" w:space="0" w:color="auto"/>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8</w:t>
            </w:r>
          </w:p>
        </w:tc>
        <w:tc>
          <w:tcPr>
            <w:tcW w:w="3132" w:type="dxa"/>
            <w:tcBorders>
              <w:top w:val="nil"/>
              <w:left w:val="nil"/>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Other Revenue Recognition Issues</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Cash Flow</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7</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1</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Direct Method</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single" w:sz="4" w:space="0" w:color="auto"/>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2</w:t>
            </w:r>
          </w:p>
        </w:tc>
        <w:tc>
          <w:tcPr>
            <w:tcW w:w="3132" w:type="dxa"/>
            <w:tcBorders>
              <w:top w:val="nil"/>
              <w:left w:val="nil"/>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Indirect Method</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Accounting Changes</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3</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SEC Reporting</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2</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2</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Partial Operations</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3</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3</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1</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Segment Reporting</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single" w:sz="4" w:space="0" w:color="auto"/>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2</w:t>
            </w:r>
          </w:p>
        </w:tc>
        <w:tc>
          <w:tcPr>
            <w:tcW w:w="3132" w:type="dxa"/>
            <w:tcBorders>
              <w:top w:val="nil"/>
              <w:left w:val="nil"/>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Interim Reporting</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New and Prospective Pronouncements</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1</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1</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single" w:sz="4" w:space="0" w:color="auto"/>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1</w:t>
            </w:r>
          </w:p>
        </w:tc>
        <w:tc>
          <w:tcPr>
            <w:tcW w:w="3132" w:type="dxa"/>
            <w:tcBorders>
              <w:top w:val="nil"/>
              <w:left w:val="nil"/>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Varies with FASB activity.</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Capstone</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2</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2</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nil"/>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1</w:t>
            </w: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Discussion</w:t>
            </w:r>
          </w:p>
        </w:tc>
        <w:tc>
          <w:tcPr>
            <w:tcW w:w="1000"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nil"/>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nil"/>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 </w:t>
            </w:r>
          </w:p>
        </w:tc>
        <w:tc>
          <w:tcPr>
            <w:tcW w:w="400" w:type="dxa"/>
            <w:tcBorders>
              <w:top w:val="nil"/>
              <w:left w:val="nil"/>
              <w:bottom w:val="single" w:sz="4" w:space="0" w:color="auto"/>
              <w:right w:val="nil"/>
            </w:tcBorders>
            <w:shd w:val="clear" w:color="auto" w:fill="auto"/>
            <w:noWrap/>
            <w:vAlign w:val="bottom"/>
            <w:hideMark/>
          </w:tcPr>
          <w:p w:rsidR="009F4D3B" w:rsidRPr="009F4D3B" w:rsidRDefault="009F4D3B" w:rsidP="009F4D3B">
            <w:pPr>
              <w:jc w:val="right"/>
              <w:rPr>
                <w:rFonts w:ascii="Geneva" w:hAnsi="Geneva"/>
                <w:sz w:val="20"/>
                <w:szCs w:val="20"/>
              </w:rPr>
            </w:pPr>
            <w:r w:rsidRPr="009F4D3B">
              <w:rPr>
                <w:rFonts w:ascii="Geneva" w:hAnsi="Geneva"/>
                <w:sz w:val="20"/>
                <w:szCs w:val="20"/>
              </w:rPr>
              <w:t>2</w:t>
            </w:r>
          </w:p>
        </w:tc>
        <w:tc>
          <w:tcPr>
            <w:tcW w:w="3132" w:type="dxa"/>
            <w:tcBorders>
              <w:top w:val="nil"/>
              <w:left w:val="nil"/>
              <w:bottom w:val="single" w:sz="4" w:space="0" w:color="auto"/>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Organization (Student led)</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sz w:val="20"/>
                <w:szCs w:val="20"/>
              </w:rPr>
            </w:pPr>
            <w:r w:rsidRPr="009F4D3B">
              <w:rPr>
                <w:rFonts w:ascii="Geneva" w:hAnsi="Geneva"/>
                <w:sz w:val="20"/>
                <w:szCs w:val="20"/>
              </w:rPr>
              <w:t> </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single" w:sz="4" w:space="0" w:color="auto"/>
              <w:left w:val="single" w:sz="4" w:space="0" w:color="auto"/>
              <w:bottom w:val="single" w:sz="4" w:space="0" w:color="auto"/>
              <w:right w:val="nil"/>
            </w:tcBorders>
            <w:shd w:val="clear" w:color="auto" w:fill="auto"/>
            <w:noWrap/>
            <w:vAlign w:val="bottom"/>
            <w:hideMark/>
          </w:tcPr>
          <w:p w:rsidR="009F4D3B" w:rsidRPr="009F4D3B" w:rsidRDefault="009F4D3B" w:rsidP="009F4D3B">
            <w:pPr>
              <w:rPr>
                <w:rFonts w:ascii="Geneva" w:hAnsi="Geneva"/>
                <w:b/>
                <w:bCs/>
                <w:sz w:val="20"/>
                <w:szCs w:val="20"/>
              </w:rPr>
            </w:pPr>
            <w:r w:rsidRPr="009F4D3B">
              <w:rPr>
                <w:rFonts w:ascii="Geneva" w:hAnsi="Geneva"/>
                <w:b/>
                <w:bCs/>
                <w:sz w:val="20"/>
                <w:szCs w:val="20"/>
              </w:rPr>
              <w:t>Total for the Fall semester</w:t>
            </w:r>
          </w:p>
        </w:tc>
        <w:tc>
          <w:tcPr>
            <w:tcW w:w="1000"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b/>
                <w:bCs/>
                <w:sz w:val="20"/>
                <w:szCs w:val="20"/>
              </w:rPr>
            </w:pPr>
            <w:r w:rsidRPr="009F4D3B">
              <w:rPr>
                <w:rFonts w:ascii="Geneva" w:hAnsi="Geneva"/>
                <w:b/>
                <w:bCs/>
                <w:sz w:val="20"/>
                <w:szCs w:val="20"/>
              </w:rPr>
              <w:t>32</w:t>
            </w:r>
          </w:p>
        </w:tc>
        <w:tc>
          <w:tcPr>
            <w:tcW w:w="1797" w:type="dxa"/>
            <w:tcBorders>
              <w:top w:val="nil"/>
              <w:left w:val="single" w:sz="4" w:space="0" w:color="auto"/>
              <w:bottom w:val="single" w:sz="4" w:space="0" w:color="auto"/>
              <w:right w:val="nil"/>
            </w:tcBorders>
            <w:shd w:val="clear" w:color="auto" w:fill="auto"/>
            <w:noWrap/>
            <w:vAlign w:val="bottom"/>
            <w:hideMark/>
          </w:tcPr>
          <w:p w:rsidR="009F4D3B" w:rsidRPr="009F4D3B" w:rsidRDefault="009F4D3B" w:rsidP="009F4D3B">
            <w:pPr>
              <w:jc w:val="center"/>
              <w:rPr>
                <w:rFonts w:ascii="Geneva" w:hAnsi="Geneva"/>
                <w:b/>
                <w:bCs/>
                <w:sz w:val="20"/>
                <w:szCs w:val="20"/>
              </w:rPr>
            </w:pPr>
            <w:r w:rsidRPr="009F4D3B">
              <w:rPr>
                <w:rFonts w:ascii="Geneva" w:hAnsi="Geneva"/>
                <w:b/>
                <w:bCs/>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9F4D3B" w:rsidRPr="009F4D3B" w:rsidRDefault="009F4D3B" w:rsidP="009F4D3B">
            <w:pPr>
              <w:jc w:val="center"/>
              <w:rPr>
                <w:rFonts w:ascii="Geneva" w:hAnsi="Geneva"/>
                <w:b/>
                <w:bCs/>
                <w:sz w:val="20"/>
                <w:szCs w:val="20"/>
              </w:rPr>
            </w:pPr>
            <w:r w:rsidRPr="009F4D3B">
              <w:rPr>
                <w:rFonts w:ascii="Geneva" w:hAnsi="Geneva"/>
                <w:b/>
                <w:bCs/>
                <w:sz w:val="20"/>
                <w:szCs w:val="20"/>
              </w:rPr>
              <w:t>43</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132"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797"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3932" w:type="dxa"/>
            <w:gridSpan w:val="3"/>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Texts Currently Used:</w:t>
            </w: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797"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532" w:type="dxa"/>
            <w:gridSpan w:val="3"/>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Intermediate Accounting, Kieso &amp; Weygandt.</w:t>
            </w:r>
          </w:p>
        </w:tc>
        <w:tc>
          <w:tcPr>
            <w:tcW w:w="1797"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7329" w:type="dxa"/>
            <w:gridSpan w:val="5"/>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Issues in Financial Accounting, custom Primis text.</w:t>
            </w: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532" w:type="dxa"/>
            <w:gridSpan w:val="3"/>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GAAP, Delany et al, annual edition.</w:t>
            </w:r>
          </w:p>
        </w:tc>
        <w:tc>
          <w:tcPr>
            <w:tcW w:w="1797"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10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r>
      <w:tr w:rsidR="009F4D3B" w:rsidRPr="009F4D3B" w:rsidTr="009F4D3B">
        <w:trPr>
          <w:trHeight w:val="255"/>
        </w:trPr>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400" w:type="dxa"/>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p>
        </w:tc>
        <w:tc>
          <w:tcPr>
            <w:tcW w:w="7329" w:type="dxa"/>
            <w:gridSpan w:val="5"/>
            <w:tcBorders>
              <w:top w:val="nil"/>
              <w:left w:val="nil"/>
              <w:bottom w:val="nil"/>
              <w:right w:val="nil"/>
            </w:tcBorders>
            <w:shd w:val="clear" w:color="auto" w:fill="auto"/>
            <w:noWrap/>
            <w:vAlign w:val="bottom"/>
            <w:hideMark/>
          </w:tcPr>
          <w:p w:rsidR="009F4D3B" w:rsidRPr="009F4D3B" w:rsidRDefault="009F4D3B" w:rsidP="009F4D3B">
            <w:pPr>
              <w:rPr>
                <w:rFonts w:ascii="Geneva" w:hAnsi="Geneva"/>
                <w:sz w:val="20"/>
                <w:szCs w:val="20"/>
              </w:rPr>
            </w:pPr>
            <w:r w:rsidRPr="009F4D3B">
              <w:rPr>
                <w:rFonts w:ascii="Geneva" w:hAnsi="Geneva"/>
                <w:sz w:val="20"/>
                <w:szCs w:val="20"/>
              </w:rPr>
              <w:t>FASB Cases in Recognition and Measurement.</w:t>
            </w:r>
          </w:p>
        </w:tc>
      </w:tr>
    </w:tbl>
    <w:p w:rsidR="000440F3" w:rsidRPr="00327ED4" w:rsidRDefault="000440F3" w:rsidP="000440F3">
      <w:pPr>
        <w:ind w:left="1080"/>
        <w:rPr>
          <w:sz w:val="22"/>
        </w:rPr>
      </w:pPr>
    </w:p>
    <w:sectPr w:rsidR="000440F3"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A15" w:rsidRDefault="002D0A15">
      <w:r>
        <w:separator/>
      </w:r>
    </w:p>
  </w:endnote>
  <w:endnote w:type="continuationSeparator" w:id="0">
    <w:p w:rsidR="002D0A15" w:rsidRDefault="002D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1721E5">
        <w:pPr>
          <w:pStyle w:val="Footer"/>
          <w:jc w:val="center"/>
        </w:pPr>
        <w:r>
          <w:fldChar w:fldCharType="begin"/>
        </w:r>
        <w:r>
          <w:instrText xml:space="preserve"> PAGE   \* MERGEFORMAT </w:instrText>
        </w:r>
        <w:r>
          <w:fldChar w:fldCharType="separate"/>
        </w:r>
        <w:r w:rsidR="00AB5C40">
          <w:rPr>
            <w:noProof/>
          </w:rPr>
          <w:t>1</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A15" w:rsidRDefault="002D0A15">
      <w:r>
        <w:separator/>
      </w:r>
    </w:p>
  </w:footnote>
  <w:footnote w:type="continuationSeparator" w:id="0">
    <w:p w:rsidR="002D0A15" w:rsidRDefault="002D0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008B9"/>
    <w:rsid w:val="000440F3"/>
    <w:rsid w:val="00075B88"/>
    <w:rsid w:val="00076986"/>
    <w:rsid w:val="0008184C"/>
    <w:rsid w:val="00097923"/>
    <w:rsid w:val="000F798F"/>
    <w:rsid w:val="00136C7B"/>
    <w:rsid w:val="0013773A"/>
    <w:rsid w:val="00155325"/>
    <w:rsid w:val="0016532A"/>
    <w:rsid w:val="001721E5"/>
    <w:rsid w:val="00187D1C"/>
    <w:rsid w:val="00191800"/>
    <w:rsid w:val="001A43CA"/>
    <w:rsid w:val="00214B6A"/>
    <w:rsid w:val="00270ED1"/>
    <w:rsid w:val="00293C3E"/>
    <w:rsid w:val="00297531"/>
    <w:rsid w:val="002A5A07"/>
    <w:rsid w:val="002D0A15"/>
    <w:rsid w:val="002D2585"/>
    <w:rsid w:val="002D6EF8"/>
    <w:rsid w:val="002E7274"/>
    <w:rsid w:val="002F3C15"/>
    <w:rsid w:val="00327ED4"/>
    <w:rsid w:val="00351017"/>
    <w:rsid w:val="00397BBA"/>
    <w:rsid w:val="003A2EFE"/>
    <w:rsid w:val="003F4670"/>
    <w:rsid w:val="003F674E"/>
    <w:rsid w:val="00405301"/>
    <w:rsid w:val="004322FF"/>
    <w:rsid w:val="004325DF"/>
    <w:rsid w:val="0043334B"/>
    <w:rsid w:val="00471C26"/>
    <w:rsid w:val="004777C3"/>
    <w:rsid w:val="004B4420"/>
    <w:rsid w:val="004F7B28"/>
    <w:rsid w:val="00523BA6"/>
    <w:rsid w:val="005340EF"/>
    <w:rsid w:val="005C1BF7"/>
    <w:rsid w:val="005E3FBE"/>
    <w:rsid w:val="006102A6"/>
    <w:rsid w:val="00611123"/>
    <w:rsid w:val="006261F5"/>
    <w:rsid w:val="00635207"/>
    <w:rsid w:val="006402FD"/>
    <w:rsid w:val="006B15BD"/>
    <w:rsid w:val="006D52D7"/>
    <w:rsid w:val="006E7A6D"/>
    <w:rsid w:val="006F1B46"/>
    <w:rsid w:val="006F7289"/>
    <w:rsid w:val="00724E38"/>
    <w:rsid w:val="0076497B"/>
    <w:rsid w:val="0076564A"/>
    <w:rsid w:val="007731C9"/>
    <w:rsid w:val="007920BE"/>
    <w:rsid w:val="007A0F29"/>
    <w:rsid w:val="007C069E"/>
    <w:rsid w:val="00801586"/>
    <w:rsid w:val="008423BB"/>
    <w:rsid w:val="0084763F"/>
    <w:rsid w:val="008E054B"/>
    <w:rsid w:val="008F1D35"/>
    <w:rsid w:val="00916830"/>
    <w:rsid w:val="009450E9"/>
    <w:rsid w:val="00953583"/>
    <w:rsid w:val="009609CD"/>
    <w:rsid w:val="00994FA1"/>
    <w:rsid w:val="009F4D3B"/>
    <w:rsid w:val="00A40577"/>
    <w:rsid w:val="00A556B0"/>
    <w:rsid w:val="00A7043E"/>
    <w:rsid w:val="00A97B7D"/>
    <w:rsid w:val="00AA1BBA"/>
    <w:rsid w:val="00AB5C40"/>
    <w:rsid w:val="00AE78A3"/>
    <w:rsid w:val="00AF36A7"/>
    <w:rsid w:val="00B03F20"/>
    <w:rsid w:val="00B6231C"/>
    <w:rsid w:val="00B959BD"/>
    <w:rsid w:val="00BD0A42"/>
    <w:rsid w:val="00C27F25"/>
    <w:rsid w:val="00C33D74"/>
    <w:rsid w:val="00C46D65"/>
    <w:rsid w:val="00C533DA"/>
    <w:rsid w:val="00C5732D"/>
    <w:rsid w:val="00C67009"/>
    <w:rsid w:val="00C914E4"/>
    <w:rsid w:val="00CA1C03"/>
    <w:rsid w:val="00D21B8F"/>
    <w:rsid w:val="00D364B1"/>
    <w:rsid w:val="00D423AA"/>
    <w:rsid w:val="00D551EB"/>
    <w:rsid w:val="00D7099B"/>
    <w:rsid w:val="00D94C9E"/>
    <w:rsid w:val="00DE04FB"/>
    <w:rsid w:val="00DF6A9D"/>
    <w:rsid w:val="00E44F40"/>
    <w:rsid w:val="00E846E1"/>
    <w:rsid w:val="00ED19F1"/>
    <w:rsid w:val="00EE0FBE"/>
    <w:rsid w:val="00F17592"/>
    <w:rsid w:val="00F4569A"/>
    <w:rsid w:val="00F772D1"/>
    <w:rsid w:val="00F8514B"/>
    <w:rsid w:val="00FA060F"/>
    <w:rsid w:val="00FA788C"/>
    <w:rsid w:val="00FC1857"/>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97418">
      <w:bodyDiv w:val="1"/>
      <w:marLeft w:val="0"/>
      <w:marRight w:val="0"/>
      <w:marTop w:val="0"/>
      <w:marBottom w:val="0"/>
      <w:divBdr>
        <w:top w:val="none" w:sz="0" w:space="0" w:color="auto"/>
        <w:left w:val="none" w:sz="0" w:space="0" w:color="auto"/>
        <w:bottom w:val="none" w:sz="0" w:space="0" w:color="auto"/>
        <w:right w:val="none" w:sz="0" w:space="0" w:color="auto"/>
      </w:divBdr>
    </w:div>
    <w:div w:id="1275020767">
      <w:bodyDiv w:val="1"/>
      <w:marLeft w:val="0"/>
      <w:marRight w:val="0"/>
      <w:marTop w:val="0"/>
      <w:marBottom w:val="0"/>
      <w:divBdr>
        <w:top w:val="none" w:sz="0" w:space="0" w:color="auto"/>
        <w:left w:val="none" w:sz="0" w:space="0" w:color="auto"/>
        <w:bottom w:val="none" w:sz="0" w:space="0" w:color="auto"/>
        <w:right w:val="none" w:sz="0" w:space="0" w:color="auto"/>
      </w:divBdr>
      <w:divsChild>
        <w:div w:id="665591272">
          <w:marLeft w:val="0"/>
          <w:marRight w:val="0"/>
          <w:marTop w:val="0"/>
          <w:marBottom w:val="0"/>
          <w:divBdr>
            <w:top w:val="none" w:sz="0" w:space="0" w:color="auto"/>
            <w:left w:val="none" w:sz="0" w:space="0" w:color="auto"/>
            <w:bottom w:val="none" w:sz="0" w:space="0" w:color="auto"/>
            <w:right w:val="none" w:sz="0" w:space="0" w:color="auto"/>
          </w:divBdr>
        </w:div>
      </w:divsChild>
    </w:div>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cadaff.uww.edu/UCC/Curriculum_Handbook_09/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7C0D5-91D3-4894-8CDC-C6AC3E5E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3900</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gcetech</cp:lastModifiedBy>
  <cp:revision>2</cp:revision>
  <cp:lastPrinted>2011-10-18T14:16:00Z</cp:lastPrinted>
  <dcterms:created xsi:type="dcterms:W3CDTF">2011-10-28T18:56:00Z</dcterms:created>
  <dcterms:modified xsi:type="dcterms:W3CDTF">2011-10-28T18:56:00Z</dcterms:modified>
</cp:coreProperties>
</file>