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32" w:type="dxa"/>
        <w:tblLayout w:type="fixed"/>
        <w:tblLook w:val="0000"/>
      </w:tblPr>
      <w:tblGrid>
        <w:gridCol w:w="3240"/>
        <w:gridCol w:w="6210"/>
        <w:gridCol w:w="1980"/>
      </w:tblGrid>
      <w:tr w:rsidR="006C1F01" w:rsidRPr="00CC74A3">
        <w:trPr>
          <w:trHeight w:val="1793"/>
        </w:trPr>
        <w:tc>
          <w:tcPr>
            <w:tcW w:w="3240" w:type="dxa"/>
          </w:tcPr>
          <w:p w:rsidR="006C1F01" w:rsidRPr="00CC74A3" w:rsidRDefault="00D827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8pt;margin-top:15.85pt;width:266.4pt;height:64.8pt;z-index:251657728" o:allowincell="f" stroked="f">
                  <v:textbox>
                    <w:txbxContent>
                      <w:p w:rsidR="002D0B43" w:rsidRDefault="002D0B43">
                        <w:pPr>
                          <w:pStyle w:val="Heading2"/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STATE OF WISCONSIN</w:t>
                        </w:r>
                      </w:p>
                      <w:p w:rsidR="002D0B43" w:rsidRDefault="002D0B4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Department of Employee Trust Funds</w:t>
                        </w:r>
                      </w:p>
                      <w:p w:rsidR="002D0B43" w:rsidRDefault="007B09A1">
                        <w:pPr>
                          <w:pStyle w:val="Heading4"/>
                        </w:pPr>
                        <w:r>
                          <w:t>Robert J. Conlin</w:t>
                        </w:r>
                        <w:r w:rsidR="002D0B43">
                          <w:t xml:space="preserve"> </w:t>
                        </w:r>
                      </w:p>
                      <w:p w:rsidR="002D0B43" w:rsidRDefault="002D0B43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SECRETARY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202" style="position:absolute;margin-left:403.2pt;margin-top:1.45pt;width:108pt;height:86.4pt;z-index:251658752" o:allowincell="f" stroked="f">
                  <v:textbox>
                    <w:txbxContent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801 W Badger Road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PO Box 7931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Madison WI  53707-7931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1-877-533-5020 (toll free)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Fax (608) 267-4549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http://etf.wi.gov</w:t>
                        </w:r>
                      </w:p>
                    </w:txbxContent>
                  </v:textbox>
                </v:shape>
              </w:pict>
            </w:r>
            <w:r w:rsidR="00D640C2" w:rsidRPr="00CC74A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-822960</wp:posOffset>
                  </wp:positionH>
                  <wp:positionV relativeFrom="paragraph">
                    <wp:posOffset>-164465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0" w:type="dxa"/>
          </w:tcPr>
          <w:p w:rsidR="006C1F01" w:rsidRPr="00CC74A3" w:rsidRDefault="006C1F01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:rsidR="006C1F01" w:rsidRPr="00CC74A3" w:rsidRDefault="006C1F01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6C1F01" w:rsidRPr="00CC74A3" w:rsidRDefault="006C1F01">
            <w:pPr>
              <w:jc w:val="right"/>
              <w:rPr>
                <w:sz w:val="24"/>
                <w:szCs w:val="24"/>
              </w:rPr>
            </w:pPr>
          </w:p>
        </w:tc>
      </w:tr>
    </w:tbl>
    <w:p w:rsidR="006C1F01" w:rsidRPr="00CC74A3" w:rsidRDefault="006C1F01">
      <w:pPr>
        <w:rPr>
          <w:sz w:val="24"/>
          <w:szCs w:val="24"/>
        </w:rPr>
      </w:pPr>
    </w:p>
    <w:p w:rsidR="006C1F01" w:rsidRPr="00CC74A3" w:rsidRDefault="00E05254">
      <w:pPr>
        <w:pStyle w:val="Heading3"/>
        <w:rPr>
          <w:sz w:val="32"/>
          <w:szCs w:val="32"/>
        </w:rPr>
      </w:pPr>
      <w:r w:rsidRPr="00CC74A3">
        <w:rPr>
          <w:sz w:val="32"/>
          <w:szCs w:val="32"/>
        </w:rPr>
        <w:t>CORRESPONDENCE MEMORANDUM</w:t>
      </w:r>
    </w:p>
    <w:p w:rsidR="006C1F01" w:rsidRPr="00CC74A3" w:rsidRDefault="006C1F01">
      <w:pPr>
        <w:rPr>
          <w:sz w:val="24"/>
          <w:szCs w:val="24"/>
        </w:rPr>
      </w:pPr>
    </w:p>
    <w:p w:rsidR="006C1F01" w:rsidRPr="00CC74A3" w:rsidRDefault="006C1F01">
      <w:pPr>
        <w:jc w:val="center"/>
        <w:rPr>
          <w:b/>
          <w:i/>
          <w:sz w:val="24"/>
          <w:szCs w:val="24"/>
        </w:rPr>
      </w:pPr>
    </w:p>
    <w:p w:rsidR="006C1F01" w:rsidRPr="0058262B" w:rsidRDefault="00521D18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TO</w:t>
      </w:r>
      <w:r w:rsidR="005826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Wisconsin Retirement System (WRS) Participants</w:t>
      </w:r>
      <w:r w:rsidR="00CC74A3" w:rsidRPr="0058262B">
        <w:rPr>
          <w:sz w:val="24"/>
          <w:szCs w:val="24"/>
        </w:rPr>
        <w:tab/>
      </w:r>
    </w:p>
    <w:p w:rsidR="006C1F01" w:rsidRPr="00CC74A3" w:rsidRDefault="00E05254">
      <w:pPr>
        <w:rPr>
          <w:sz w:val="24"/>
          <w:szCs w:val="24"/>
        </w:rPr>
      </w:pPr>
      <w:r w:rsidRPr="00CC74A3">
        <w:rPr>
          <w:b/>
          <w:sz w:val="24"/>
          <w:szCs w:val="24"/>
        </w:rPr>
        <w:tab/>
      </w:r>
    </w:p>
    <w:p w:rsidR="006C1F01" w:rsidRPr="0058262B" w:rsidRDefault="00521D18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FROM</w:t>
      </w:r>
      <w:r w:rsidR="00E05254" w:rsidRPr="00CC74A3">
        <w:rPr>
          <w:b/>
          <w:sz w:val="24"/>
          <w:szCs w:val="24"/>
        </w:rPr>
        <w:t>:</w:t>
      </w:r>
      <w:r w:rsidR="00974F3F">
        <w:rPr>
          <w:b/>
          <w:sz w:val="24"/>
          <w:szCs w:val="24"/>
        </w:rPr>
        <w:tab/>
      </w:r>
      <w:r w:rsidR="00D2469A">
        <w:rPr>
          <w:b/>
          <w:sz w:val="24"/>
          <w:szCs w:val="24"/>
        </w:rPr>
        <w:t xml:space="preserve">Wisconsin </w:t>
      </w:r>
      <w:r>
        <w:rPr>
          <w:b/>
          <w:sz w:val="24"/>
          <w:szCs w:val="24"/>
        </w:rPr>
        <w:t>Department of Employee Trust Funds (ETF)</w:t>
      </w:r>
      <w:r w:rsidRPr="0058262B">
        <w:rPr>
          <w:sz w:val="24"/>
          <w:szCs w:val="24"/>
        </w:rPr>
        <w:tab/>
      </w:r>
      <w:r w:rsidR="00E05254" w:rsidRPr="0058262B">
        <w:rPr>
          <w:sz w:val="24"/>
          <w:szCs w:val="24"/>
        </w:rPr>
        <w:tab/>
      </w:r>
    </w:p>
    <w:p w:rsidR="006C1F01" w:rsidRPr="00CC74A3" w:rsidRDefault="006C1F01" w:rsidP="00CC74A3">
      <w:pPr>
        <w:tabs>
          <w:tab w:val="left" w:pos="1350"/>
        </w:tabs>
        <w:rPr>
          <w:sz w:val="24"/>
          <w:szCs w:val="24"/>
        </w:rPr>
      </w:pPr>
    </w:p>
    <w:p w:rsidR="006C1F01" w:rsidRPr="0058262B" w:rsidRDefault="00521D18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E05254" w:rsidRPr="00CC74A3">
        <w:rPr>
          <w:b/>
          <w:sz w:val="24"/>
          <w:szCs w:val="24"/>
        </w:rPr>
        <w:t>:</w:t>
      </w:r>
      <w:r w:rsidR="00974F3F">
        <w:rPr>
          <w:b/>
          <w:sz w:val="24"/>
          <w:szCs w:val="24"/>
        </w:rPr>
        <w:tab/>
      </w:r>
      <w:r w:rsidR="00F253F7">
        <w:rPr>
          <w:b/>
          <w:sz w:val="24"/>
          <w:szCs w:val="24"/>
        </w:rPr>
        <w:t>July 23</w:t>
      </w:r>
      <w:r w:rsidR="00593568">
        <w:rPr>
          <w:b/>
          <w:sz w:val="24"/>
          <w:szCs w:val="24"/>
        </w:rPr>
        <w:t>, 2013</w:t>
      </w:r>
      <w:r w:rsidR="002D0B43">
        <w:rPr>
          <w:b/>
          <w:sz w:val="24"/>
          <w:szCs w:val="24"/>
        </w:rPr>
        <w:t xml:space="preserve"> (memo publication date)</w:t>
      </w:r>
      <w:r>
        <w:rPr>
          <w:b/>
          <w:sz w:val="24"/>
          <w:szCs w:val="24"/>
        </w:rPr>
        <w:t xml:space="preserve"> </w:t>
      </w:r>
    </w:p>
    <w:p w:rsidR="006C1F01" w:rsidRPr="0058262B" w:rsidRDefault="006C1F01" w:rsidP="00CC74A3">
      <w:pPr>
        <w:tabs>
          <w:tab w:val="left" w:pos="1350"/>
        </w:tabs>
        <w:rPr>
          <w:sz w:val="24"/>
          <w:szCs w:val="24"/>
        </w:rPr>
      </w:pPr>
    </w:p>
    <w:p w:rsidR="00974F3F" w:rsidRDefault="00521D18" w:rsidP="00CC74A3">
      <w:pPr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E05254" w:rsidRPr="00CC74A3">
        <w:rPr>
          <w:b/>
          <w:sz w:val="24"/>
          <w:szCs w:val="24"/>
        </w:rPr>
        <w:t>:</w:t>
      </w:r>
      <w:r w:rsidR="00974F3F">
        <w:rPr>
          <w:b/>
          <w:sz w:val="24"/>
          <w:szCs w:val="24"/>
        </w:rPr>
        <w:tab/>
        <w:t>Small Group</w:t>
      </w:r>
      <w:r w:rsidR="004576B9" w:rsidRPr="004576B9">
        <w:rPr>
          <w:b/>
          <w:sz w:val="24"/>
          <w:szCs w:val="24"/>
        </w:rPr>
        <w:t xml:space="preserve"> </w:t>
      </w:r>
      <w:r w:rsidR="004576B9">
        <w:rPr>
          <w:b/>
          <w:sz w:val="24"/>
          <w:szCs w:val="24"/>
        </w:rPr>
        <w:t xml:space="preserve">Appointment </w:t>
      </w:r>
      <w:r w:rsidR="00974F3F">
        <w:rPr>
          <w:b/>
          <w:sz w:val="24"/>
          <w:szCs w:val="24"/>
        </w:rPr>
        <w:t>Retirement Sessions</w:t>
      </w:r>
    </w:p>
    <w:p w:rsidR="00974F3F" w:rsidRDefault="00974F3F" w:rsidP="00CC74A3">
      <w:pPr>
        <w:tabs>
          <w:tab w:val="left" w:pos="1350"/>
        </w:tabs>
        <w:rPr>
          <w:b/>
          <w:sz w:val="24"/>
          <w:szCs w:val="24"/>
        </w:rPr>
      </w:pPr>
    </w:p>
    <w:p w:rsidR="00974F3F" w:rsidRDefault="00974F3F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974F3F" w:rsidP="00CC74A3">
      <w:pPr>
        <w:tabs>
          <w:tab w:val="left" w:pos="1350"/>
        </w:tabs>
        <w:rPr>
          <w:b/>
          <w:sz w:val="24"/>
          <w:szCs w:val="24"/>
        </w:rPr>
      </w:pPr>
      <w:r w:rsidRPr="00584AC2">
        <w:rPr>
          <w:b/>
          <w:sz w:val="24"/>
          <w:szCs w:val="24"/>
          <w:u w:val="single"/>
        </w:rPr>
        <w:t>ATTENTION</w:t>
      </w:r>
      <w:r w:rsidR="00033A46">
        <w:rPr>
          <w:b/>
          <w:sz w:val="24"/>
          <w:szCs w:val="24"/>
        </w:rPr>
        <w:t xml:space="preserve"> any employee </w:t>
      </w:r>
      <w:r>
        <w:rPr>
          <w:b/>
          <w:sz w:val="24"/>
          <w:szCs w:val="24"/>
        </w:rPr>
        <w:t>considering retirement within the next 12 months or</w:t>
      </w:r>
      <w:r w:rsidR="00AD7460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employee </w:t>
      </w:r>
      <w:r w:rsidR="00AD7460">
        <w:rPr>
          <w:b/>
          <w:sz w:val="24"/>
          <w:szCs w:val="24"/>
        </w:rPr>
        <w:t xml:space="preserve">within 1 year of </w:t>
      </w:r>
      <w:r>
        <w:rPr>
          <w:b/>
          <w:sz w:val="24"/>
          <w:szCs w:val="24"/>
        </w:rPr>
        <w:t>minimum retirement</w:t>
      </w:r>
      <w:r w:rsidR="00984CFB">
        <w:rPr>
          <w:b/>
          <w:sz w:val="24"/>
          <w:szCs w:val="24"/>
        </w:rPr>
        <w:t xml:space="preserve"> age</w:t>
      </w:r>
      <w:r w:rsidR="00033A4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age 50 for protective categories or age 55 for general </w:t>
      </w:r>
      <w:r w:rsidR="00A53CDF">
        <w:rPr>
          <w:b/>
          <w:sz w:val="24"/>
          <w:szCs w:val="24"/>
        </w:rPr>
        <w:t>or teacher categories):</w:t>
      </w:r>
      <w:r w:rsidR="00AD7460">
        <w:rPr>
          <w:b/>
          <w:sz w:val="24"/>
          <w:szCs w:val="24"/>
        </w:rPr>
        <w:t xml:space="preserve"> 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Department of Employee Trust Funds will be at </w:t>
      </w:r>
      <w:r w:rsidR="002D0B43">
        <w:rPr>
          <w:b/>
          <w:sz w:val="24"/>
          <w:szCs w:val="24"/>
        </w:rPr>
        <w:t>UW-Whitewater</w:t>
      </w:r>
      <w:r w:rsidR="00A53CDF">
        <w:rPr>
          <w:b/>
          <w:sz w:val="24"/>
          <w:szCs w:val="24"/>
        </w:rPr>
        <w:t>’s</w:t>
      </w:r>
      <w:r w:rsidR="002D0B43">
        <w:rPr>
          <w:b/>
          <w:sz w:val="24"/>
          <w:szCs w:val="24"/>
        </w:rPr>
        <w:t xml:space="preserve"> University Center in Room 2</w:t>
      </w:r>
      <w:r w:rsidR="00593568">
        <w:rPr>
          <w:b/>
          <w:sz w:val="24"/>
          <w:szCs w:val="24"/>
        </w:rPr>
        <w:t>66</w:t>
      </w:r>
      <w:r w:rsidR="002D0B43">
        <w:rPr>
          <w:b/>
          <w:sz w:val="24"/>
          <w:szCs w:val="24"/>
        </w:rPr>
        <w:t xml:space="preserve"> on </w:t>
      </w:r>
      <w:r w:rsidR="002D0B43" w:rsidRPr="00593568">
        <w:rPr>
          <w:b/>
          <w:sz w:val="28"/>
          <w:szCs w:val="28"/>
        </w:rPr>
        <w:t>Tu</w:t>
      </w:r>
      <w:r w:rsidR="009E69F0" w:rsidRPr="00593568">
        <w:rPr>
          <w:b/>
          <w:sz w:val="28"/>
          <w:szCs w:val="28"/>
        </w:rPr>
        <w:t xml:space="preserve">esday, </w:t>
      </w:r>
      <w:r w:rsidR="00F253F7">
        <w:rPr>
          <w:b/>
          <w:sz w:val="28"/>
          <w:szCs w:val="28"/>
        </w:rPr>
        <w:t>August</w:t>
      </w:r>
      <w:r w:rsidR="00593568" w:rsidRPr="00593568">
        <w:rPr>
          <w:b/>
          <w:sz w:val="28"/>
          <w:szCs w:val="28"/>
        </w:rPr>
        <w:t xml:space="preserve"> </w:t>
      </w:r>
      <w:r w:rsidR="009E69F0" w:rsidRPr="00593568">
        <w:rPr>
          <w:b/>
          <w:sz w:val="28"/>
          <w:szCs w:val="28"/>
        </w:rPr>
        <w:t>1</w:t>
      </w:r>
      <w:r w:rsidR="00F253F7">
        <w:rPr>
          <w:b/>
          <w:sz w:val="28"/>
          <w:szCs w:val="28"/>
        </w:rPr>
        <w:t>3</w:t>
      </w:r>
      <w:r>
        <w:rPr>
          <w:b/>
          <w:sz w:val="24"/>
          <w:szCs w:val="24"/>
        </w:rPr>
        <w:t xml:space="preserve"> to provide an overview of the retirement process and answer questions regarding your WRS retirement.</w:t>
      </w:r>
      <w:r w:rsidR="00D2469A">
        <w:rPr>
          <w:b/>
          <w:sz w:val="24"/>
          <w:szCs w:val="24"/>
        </w:rPr>
        <w:t xml:space="preserve">  Topics </w:t>
      </w:r>
      <w:r w:rsidR="00AD7460">
        <w:rPr>
          <w:b/>
          <w:sz w:val="24"/>
          <w:szCs w:val="24"/>
        </w:rPr>
        <w:t xml:space="preserve">covered </w:t>
      </w:r>
      <w:r w:rsidR="00D2469A">
        <w:rPr>
          <w:b/>
          <w:sz w:val="24"/>
          <w:szCs w:val="24"/>
        </w:rPr>
        <w:t xml:space="preserve">include but are not limited to:  </w:t>
      </w:r>
      <w:r w:rsidR="004E30BF">
        <w:rPr>
          <w:b/>
          <w:sz w:val="24"/>
          <w:szCs w:val="24"/>
        </w:rPr>
        <w:t>calculating</w:t>
      </w:r>
      <w:r w:rsidR="00D2469A">
        <w:rPr>
          <w:b/>
          <w:sz w:val="24"/>
          <w:szCs w:val="24"/>
        </w:rPr>
        <w:t xml:space="preserve"> </w:t>
      </w:r>
      <w:r w:rsidR="004E30BF">
        <w:rPr>
          <w:b/>
          <w:sz w:val="24"/>
          <w:szCs w:val="24"/>
        </w:rPr>
        <w:t>a</w:t>
      </w:r>
      <w:r w:rsidR="00D2469A">
        <w:rPr>
          <w:b/>
          <w:sz w:val="24"/>
          <w:szCs w:val="24"/>
        </w:rPr>
        <w:t xml:space="preserve"> retirement</w:t>
      </w:r>
      <w:r w:rsidR="00AD7460">
        <w:rPr>
          <w:b/>
          <w:sz w:val="24"/>
          <w:szCs w:val="24"/>
        </w:rPr>
        <w:t xml:space="preserve"> pension</w:t>
      </w:r>
      <w:r w:rsidR="004E30BF">
        <w:rPr>
          <w:b/>
          <w:sz w:val="24"/>
          <w:szCs w:val="24"/>
        </w:rPr>
        <w:t xml:space="preserve">, </w:t>
      </w:r>
      <w:r w:rsidR="00D2469A">
        <w:rPr>
          <w:b/>
          <w:sz w:val="24"/>
          <w:szCs w:val="24"/>
        </w:rPr>
        <w:t>sort</w:t>
      </w:r>
      <w:r w:rsidR="004E30BF">
        <w:rPr>
          <w:b/>
          <w:sz w:val="24"/>
          <w:szCs w:val="24"/>
        </w:rPr>
        <w:t>ing</w:t>
      </w:r>
      <w:r w:rsidR="00D2469A">
        <w:rPr>
          <w:b/>
          <w:sz w:val="24"/>
          <w:szCs w:val="24"/>
        </w:rPr>
        <w:t xml:space="preserve"> through </w:t>
      </w:r>
      <w:r w:rsidR="00AD7460">
        <w:rPr>
          <w:b/>
          <w:sz w:val="24"/>
          <w:szCs w:val="24"/>
        </w:rPr>
        <w:t xml:space="preserve">monthly annuity options, </w:t>
      </w:r>
      <w:r w:rsidR="00D2469A">
        <w:rPr>
          <w:b/>
          <w:sz w:val="24"/>
          <w:szCs w:val="24"/>
        </w:rPr>
        <w:t>fill</w:t>
      </w:r>
      <w:r w:rsidR="004E30BF">
        <w:rPr>
          <w:b/>
          <w:sz w:val="24"/>
          <w:szCs w:val="24"/>
        </w:rPr>
        <w:t>ing</w:t>
      </w:r>
      <w:r w:rsidR="00D2469A">
        <w:rPr>
          <w:b/>
          <w:sz w:val="24"/>
          <w:szCs w:val="24"/>
        </w:rPr>
        <w:t xml:space="preserve"> out retirement application</w:t>
      </w:r>
      <w:r w:rsidR="004E30BF">
        <w:rPr>
          <w:b/>
          <w:sz w:val="24"/>
          <w:szCs w:val="24"/>
        </w:rPr>
        <w:t xml:space="preserve">s and </w:t>
      </w:r>
      <w:r w:rsidR="00D2469A">
        <w:rPr>
          <w:b/>
          <w:sz w:val="24"/>
          <w:szCs w:val="24"/>
        </w:rPr>
        <w:t>beneficiary form</w:t>
      </w:r>
      <w:r w:rsidR="004E30BF">
        <w:rPr>
          <w:b/>
          <w:sz w:val="24"/>
          <w:szCs w:val="24"/>
        </w:rPr>
        <w:t>s</w:t>
      </w:r>
      <w:r w:rsidR="00AD7460">
        <w:rPr>
          <w:b/>
          <w:sz w:val="24"/>
          <w:szCs w:val="24"/>
        </w:rPr>
        <w:t xml:space="preserve">, </w:t>
      </w:r>
      <w:r w:rsidR="004E30BF">
        <w:rPr>
          <w:b/>
          <w:sz w:val="24"/>
          <w:szCs w:val="24"/>
        </w:rPr>
        <w:t xml:space="preserve">possible annuity adjustments, </w:t>
      </w:r>
      <w:r w:rsidR="00AD7460">
        <w:rPr>
          <w:b/>
          <w:sz w:val="24"/>
          <w:szCs w:val="24"/>
        </w:rPr>
        <w:t>life</w:t>
      </w:r>
      <w:r w:rsidR="004E30BF">
        <w:rPr>
          <w:b/>
          <w:sz w:val="24"/>
          <w:szCs w:val="24"/>
        </w:rPr>
        <w:t xml:space="preserve"> insurance</w:t>
      </w:r>
      <w:r w:rsidR="00AD7460">
        <w:rPr>
          <w:b/>
          <w:sz w:val="24"/>
          <w:szCs w:val="24"/>
        </w:rPr>
        <w:t xml:space="preserve"> and health insurance, returning to work</w:t>
      </w:r>
      <w:r w:rsidR="00033A46">
        <w:rPr>
          <w:b/>
          <w:sz w:val="24"/>
          <w:szCs w:val="24"/>
        </w:rPr>
        <w:t>, etc</w:t>
      </w:r>
      <w:r w:rsidR="00D2469A">
        <w:rPr>
          <w:b/>
          <w:sz w:val="24"/>
          <w:szCs w:val="24"/>
        </w:rPr>
        <w:t>.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CD62AD" w:rsidP="00CC74A3">
      <w:pPr>
        <w:tabs>
          <w:tab w:val="left" w:pos="1350"/>
        </w:tabs>
        <w:rPr>
          <w:b/>
          <w:sz w:val="24"/>
          <w:szCs w:val="24"/>
        </w:rPr>
      </w:pPr>
      <w:r w:rsidRPr="00FD43E4">
        <w:rPr>
          <w:b/>
          <w:sz w:val="32"/>
          <w:szCs w:val="32"/>
        </w:rPr>
        <w:t>***</w:t>
      </w:r>
      <w:r w:rsidRPr="00CD62AD">
        <w:rPr>
          <w:b/>
          <w:sz w:val="24"/>
          <w:szCs w:val="24"/>
        </w:rPr>
        <w:t xml:space="preserve"> </w:t>
      </w:r>
      <w:r w:rsidRPr="0090559D">
        <w:rPr>
          <w:b/>
          <w:sz w:val="24"/>
          <w:szCs w:val="24"/>
          <w:u w:val="single"/>
        </w:rPr>
        <w:t>ENROLLMENT IS LIMITED</w:t>
      </w:r>
      <w:r w:rsidR="0090559D" w:rsidRPr="0090559D">
        <w:rPr>
          <w:b/>
          <w:sz w:val="24"/>
          <w:szCs w:val="24"/>
          <w:u w:val="single"/>
        </w:rPr>
        <w:t>.</w:t>
      </w:r>
      <w:r w:rsidR="0090559D">
        <w:rPr>
          <w:b/>
          <w:sz w:val="24"/>
          <w:szCs w:val="24"/>
        </w:rPr>
        <w:t xml:space="preserve">  </w:t>
      </w:r>
      <w:r w:rsidR="00584AC2">
        <w:rPr>
          <w:b/>
          <w:sz w:val="24"/>
          <w:szCs w:val="24"/>
        </w:rPr>
        <w:t>These</w:t>
      </w:r>
      <w:r w:rsidR="004576B9">
        <w:rPr>
          <w:b/>
          <w:sz w:val="24"/>
          <w:szCs w:val="24"/>
        </w:rPr>
        <w:t xml:space="preserve"> are</w:t>
      </w:r>
      <w:r w:rsidR="00584AC2">
        <w:rPr>
          <w:b/>
          <w:sz w:val="24"/>
          <w:szCs w:val="24"/>
        </w:rPr>
        <w:t xml:space="preserve"> small group </w:t>
      </w:r>
      <w:r w:rsidR="00CD27A5">
        <w:rPr>
          <w:b/>
          <w:sz w:val="24"/>
          <w:szCs w:val="24"/>
        </w:rPr>
        <w:t>appointments;</w:t>
      </w:r>
      <w:r w:rsidR="00D2469A">
        <w:rPr>
          <w:b/>
          <w:sz w:val="24"/>
          <w:szCs w:val="24"/>
        </w:rPr>
        <w:t xml:space="preserve"> </w:t>
      </w:r>
      <w:r w:rsidR="00CD27A5">
        <w:rPr>
          <w:b/>
          <w:sz w:val="24"/>
          <w:szCs w:val="24"/>
        </w:rPr>
        <w:t>similar to an</w:t>
      </w:r>
      <w:r w:rsidR="00D2469A">
        <w:rPr>
          <w:b/>
          <w:sz w:val="24"/>
          <w:szCs w:val="24"/>
        </w:rPr>
        <w:t xml:space="preserve"> individual appointment</w:t>
      </w:r>
      <w:r w:rsidR="00CD27A5">
        <w:rPr>
          <w:b/>
          <w:sz w:val="24"/>
          <w:szCs w:val="24"/>
        </w:rPr>
        <w:t xml:space="preserve"> in Madison</w:t>
      </w:r>
      <w:r w:rsidR="0090559D">
        <w:rPr>
          <w:b/>
          <w:sz w:val="24"/>
          <w:szCs w:val="24"/>
        </w:rPr>
        <w:t xml:space="preserve"> </w:t>
      </w:r>
      <w:r w:rsidR="002F35A7">
        <w:rPr>
          <w:b/>
          <w:sz w:val="24"/>
          <w:szCs w:val="24"/>
        </w:rPr>
        <w:t>with</w:t>
      </w:r>
      <w:r w:rsidR="0090559D">
        <w:rPr>
          <w:b/>
          <w:sz w:val="24"/>
          <w:szCs w:val="24"/>
        </w:rPr>
        <w:t xml:space="preserve"> the </w:t>
      </w:r>
      <w:r w:rsidR="002F35A7">
        <w:rPr>
          <w:b/>
          <w:sz w:val="24"/>
          <w:szCs w:val="24"/>
        </w:rPr>
        <w:t xml:space="preserve">same </w:t>
      </w:r>
      <w:r w:rsidR="0090559D">
        <w:rPr>
          <w:b/>
          <w:sz w:val="24"/>
          <w:szCs w:val="24"/>
        </w:rPr>
        <w:t>information</w:t>
      </w:r>
      <w:r w:rsidR="002D0B43">
        <w:rPr>
          <w:b/>
          <w:sz w:val="24"/>
          <w:szCs w:val="24"/>
        </w:rPr>
        <w:t xml:space="preserve">, </w:t>
      </w:r>
      <w:r w:rsidR="004E30BF">
        <w:rPr>
          <w:b/>
          <w:sz w:val="24"/>
          <w:szCs w:val="24"/>
        </w:rPr>
        <w:t>presented</w:t>
      </w:r>
      <w:r w:rsidR="00B83491">
        <w:rPr>
          <w:b/>
          <w:sz w:val="24"/>
          <w:szCs w:val="24"/>
        </w:rPr>
        <w:t xml:space="preserve"> professionally </w:t>
      </w:r>
      <w:r w:rsidR="00CD27A5">
        <w:rPr>
          <w:b/>
          <w:sz w:val="24"/>
          <w:szCs w:val="24"/>
        </w:rPr>
        <w:t>but</w:t>
      </w:r>
      <w:r w:rsidR="004E30BF">
        <w:rPr>
          <w:b/>
          <w:sz w:val="24"/>
          <w:szCs w:val="24"/>
        </w:rPr>
        <w:t xml:space="preserve"> </w:t>
      </w:r>
      <w:r w:rsidR="002F35A7">
        <w:rPr>
          <w:b/>
          <w:sz w:val="24"/>
          <w:szCs w:val="24"/>
        </w:rPr>
        <w:t xml:space="preserve">also </w:t>
      </w:r>
      <w:r w:rsidR="004E30BF">
        <w:rPr>
          <w:b/>
          <w:sz w:val="24"/>
          <w:szCs w:val="24"/>
        </w:rPr>
        <w:t xml:space="preserve">informally to allow for </w:t>
      </w:r>
      <w:r w:rsidR="00B83491">
        <w:rPr>
          <w:b/>
          <w:sz w:val="24"/>
          <w:szCs w:val="24"/>
        </w:rPr>
        <w:t>audience participation</w:t>
      </w:r>
      <w:r w:rsidR="004576B9">
        <w:rPr>
          <w:b/>
          <w:sz w:val="24"/>
          <w:szCs w:val="24"/>
        </w:rPr>
        <w:t>.  Though the</w:t>
      </w:r>
      <w:r w:rsidR="0090559D">
        <w:rPr>
          <w:b/>
          <w:sz w:val="24"/>
          <w:szCs w:val="24"/>
        </w:rPr>
        <w:t xml:space="preserve">se sessions </w:t>
      </w:r>
      <w:r w:rsidR="00584AC2">
        <w:rPr>
          <w:b/>
          <w:sz w:val="24"/>
          <w:szCs w:val="24"/>
        </w:rPr>
        <w:t>are not mandatory</w:t>
      </w:r>
      <w:r w:rsidR="004576B9">
        <w:rPr>
          <w:b/>
          <w:sz w:val="24"/>
          <w:szCs w:val="24"/>
        </w:rPr>
        <w:t xml:space="preserve">, </w:t>
      </w:r>
      <w:r w:rsidR="0090559D">
        <w:rPr>
          <w:b/>
          <w:sz w:val="24"/>
          <w:szCs w:val="24"/>
        </w:rPr>
        <w:t xml:space="preserve">many of our </w:t>
      </w:r>
      <w:r w:rsidR="004576B9">
        <w:rPr>
          <w:b/>
          <w:sz w:val="24"/>
          <w:szCs w:val="24"/>
        </w:rPr>
        <w:t xml:space="preserve">participants recommend them as being very </w:t>
      </w:r>
      <w:r w:rsidR="00F97924">
        <w:rPr>
          <w:b/>
          <w:sz w:val="24"/>
          <w:szCs w:val="24"/>
        </w:rPr>
        <w:t xml:space="preserve">beneficial and </w:t>
      </w:r>
      <w:r w:rsidR="0090559D">
        <w:rPr>
          <w:b/>
          <w:sz w:val="24"/>
          <w:szCs w:val="24"/>
        </w:rPr>
        <w:t xml:space="preserve">helpful </w:t>
      </w:r>
      <w:r w:rsidR="004576B9">
        <w:rPr>
          <w:b/>
          <w:sz w:val="24"/>
          <w:szCs w:val="24"/>
        </w:rPr>
        <w:t>in navigating through the retirement process.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2D0B43" w:rsidP="00CC74A3">
      <w:pPr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84AC2">
        <w:rPr>
          <w:b/>
          <w:sz w:val="24"/>
          <w:szCs w:val="24"/>
        </w:rPr>
        <w:t xml:space="preserve">ontact our office no later than </w:t>
      </w:r>
      <w:r w:rsidR="00F253F7">
        <w:rPr>
          <w:b/>
          <w:sz w:val="24"/>
          <w:szCs w:val="24"/>
          <w:u w:val="single"/>
        </w:rPr>
        <w:t>Fri</w:t>
      </w:r>
      <w:r w:rsidR="00584AC2" w:rsidRPr="00584AC2">
        <w:rPr>
          <w:b/>
          <w:sz w:val="24"/>
          <w:szCs w:val="24"/>
          <w:u w:val="single"/>
        </w:rPr>
        <w:t xml:space="preserve">day, </w:t>
      </w:r>
      <w:r w:rsidR="00F253F7">
        <w:rPr>
          <w:b/>
          <w:sz w:val="24"/>
          <w:szCs w:val="24"/>
          <w:u w:val="single"/>
        </w:rPr>
        <w:t>August</w:t>
      </w:r>
      <w:r w:rsidR="00593568">
        <w:rPr>
          <w:b/>
          <w:sz w:val="24"/>
          <w:szCs w:val="24"/>
          <w:u w:val="single"/>
        </w:rPr>
        <w:t xml:space="preserve"> </w:t>
      </w:r>
      <w:r w:rsidR="00F253F7">
        <w:rPr>
          <w:b/>
          <w:sz w:val="24"/>
          <w:szCs w:val="24"/>
          <w:u w:val="single"/>
        </w:rPr>
        <w:t>2</w:t>
      </w:r>
      <w:r w:rsidR="00F253F7">
        <w:rPr>
          <w:b/>
          <w:sz w:val="24"/>
          <w:szCs w:val="24"/>
        </w:rPr>
        <w:t xml:space="preserve"> if you wish to schedule </w:t>
      </w:r>
      <w:r w:rsidR="00584AC2">
        <w:rPr>
          <w:b/>
          <w:sz w:val="24"/>
          <w:szCs w:val="24"/>
        </w:rPr>
        <w:t xml:space="preserve">for </w:t>
      </w:r>
      <w:r w:rsidR="00F97924">
        <w:rPr>
          <w:b/>
          <w:sz w:val="24"/>
          <w:szCs w:val="24"/>
        </w:rPr>
        <w:t xml:space="preserve">either the 10:00 am or 2:00 pm </w:t>
      </w:r>
      <w:r w:rsidR="00584AC2">
        <w:rPr>
          <w:b/>
          <w:sz w:val="24"/>
          <w:szCs w:val="24"/>
        </w:rPr>
        <w:t>session</w:t>
      </w:r>
      <w:r w:rsidR="00984CFB">
        <w:rPr>
          <w:b/>
          <w:sz w:val="24"/>
          <w:szCs w:val="24"/>
        </w:rPr>
        <w:t xml:space="preserve"> on </w:t>
      </w:r>
      <w:r w:rsidRPr="00593568">
        <w:rPr>
          <w:b/>
          <w:sz w:val="28"/>
          <w:szCs w:val="28"/>
        </w:rPr>
        <w:t xml:space="preserve">Tuesday, </w:t>
      </w:r>
      <w:r w:rsidR="00F253F7">
        <w:rPr>
          <w:b/>
          <w:sz w:val="28"/>
          <w:szCs w:val="28"/>
        </w:rPr>
        <w:t xml:space="preserve">August </w:t>
      </w:r>
      <w:r w:rsidR="009E69F0" w:rsidRPr="00593568">
        <w:rPr>
          <w:b/>
          <w:sz w:val="28"/>
          <w:szCs w:val="28"/>
        </w:rPr>
        <w:t>1</w:t>
      </w:r>
      <w:r w:rsidR="00F253F7">
        <w:rPr>
          <w:b/>
          <w:sz w:val="28"/>
          <w:szCs w:val="28"/>
        </w:rPr>
        <w:t>3</w:t>
      </w:r>
      <w:r w:rsidR="00584AC2">
        <w:rPr>
          <w:b/>
          <w:sz w:val="24"/>
          <w:szCs w:val="24"/>
        </w:rPr>
        <w:t>.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6C1F01" w:rsidRDefault="00584AC2" w:rsidP="00CC74A3">
      <w:pPr>
        <w:tabs>
          <w:tab w:val="left" w:pos="1350"/>
        </w:tabs>
        <w:rPr>
          <w:b/>
          <w:sz w:val="24"/>
          <w:szCs w:val="24"/>
        </w:rPr>
      </w:pPr>
      <w:r w:rsidRPr="00FD43E4">
        <w:rPr>
          <w:b/>
          <w:sz w:val="32"/>
          <w:szCs w:val="32"/>
        </w:rPr>
        <w:t>***</w:t>
      </w:r>
      <w:r w:rsidRPr="00033A46">
        <w:rPr>
          <w:b/>
          <w:sz w:val="24"/>
          <w:szCs w:val="24"/>
        </w:rPr>
        <w:t xml:space="preserve"> You </w:t>
      </w:r>
      <w:r w:rsidRPr="00033A46">
        <w:rPr>
          <w:b/>
          <w:sz w:val="24"/>
          <w:szCs w:val="24"/>
          <w:u w:val="single"/>
        </w:rPr>
        <w:t>must</w:t>
      </w:r>
      <w:r w:rsidRPr="00033A46">
        <w:rPr>
          <w:b/>
          <w:sz w:val="24"/>
          <w:szCs w:val="24"/>
        </w:rPr>
        <w:t xml:space="preserve"> already have a retirement estimate</w:t>
      </w:r>
      <w:r w:rsidR="00F97924" w:rsidRPr="00033A46">
        <w:rPr>
          <w:b/>
          <w:sz w:val="24"/>
          <w:szCs w:val="24"/>
        </w:rPr>
        <w:t xml:space="preserve"> to schedule an appointment to attend th</w:t>
      </w:r>
      <w:r w:rsidR="0090559D" w:rsidRPr="00033A46">
        <w:rPr>
          <w:b/>
          <w:sz w:val="24"/>
          <w:szCs w:val="24"/>
        </w:rPr>
        <w:t>i</w:t>
      </w:r>
      <w:r w:rsidR="00F97924" w:rsidRPr="00033A46">
        <w:rPr>
          <w:b/>
          <w:sz w:val="24"/>
          <w:szCs w:val="24"/>
        </w:rPr>
        <w:t>s session.</w:t>
      </w:r>
      <w:r w:rsidR="0090559D" w:rsidRPr="00033A46">
        <w:rPr>
          <w:b/>
          <w:sz w:val="24"/>
          <w:szCs w:val="24"/>
        </w:rPr>
        <w:t xml:space="preserve">  If you do not currently have a retirement estimate</w:t>
      </w:r>
      <w:r w:rsidR="002D0B43">
        <w:rPr>
          <w:b/>
          <w:sz w:val="24"/>
          <w:szCs w:val="24"/>
        </w:rPr>
        <w:t xml:space="preserve">, you may </w:t>
      </w:r>
      <w:r w:rsidR="00CD62AD" w:rsidRPr="00033A46">
        <w:rPr>
          <w:b/>
          <w:sz w:val="24"/>
          <w:szCs w:val="24"/>
        </w:rPr>
        <w:t xml:space="preserve">order one </w:t>
      </w:r>
      <w:r w:rsidR="002D0B43">
        <w:rPr>
          <w:b/>
          <w:sz w:val="24"/>
          <w:szCs w:val="24"/>
        </w:rPr>
        <w:t>when you</w:t>
      </w:r>
      <w:r w:rsidR="00CD62AD" w:rsidRPr="00033A46">
        <w:rPr>
          <w:b/>
          <w:sz w:val="24"/>
          <w:szCs w:val="24"/>
        </w:rPr>
        <w:t xml:space="preserve"> schedule </w:t>
      </w:r>
      <w:r w:rsidR="002D0B43">
        <w:rPr>
          <w:b/>
          <w:sz w:val="24"/>
          <w:szCs w:val="24"/>
        </w:rPr>
        <w:t>your</w:t>
      </w:r>
      <w:r w:rsidR="00CD62AD" w:rsidRPr="00033A46">
        <w:rPr>
          <w:b/>
          <w:sz w:val="24"/>
          <w:szCs w:val="24"/>
        </w:rPr>
        <w:t xml:space="preserve"> appointment</w:t>
      </w:r>
      <w:r w:rsidR="002D0B43">
        <w:rPr>
          <w:b/>
          <w:sz w:val="24"/>
          <w:szCs w:val="24"/>
        </w:rPr>
        <w:t>.  O</w:t>
      </w:r>
      <w:r w:rsidR="00CD62AD" w:rsidRPr="00033A46">
        <w:rPr>
          <w:b/>
          <w:sz w:val="24"/>
          <w:szCs w:val="24"/>
        </w:rPr>
        <w:t>ther date</w:t>
      </w:r>
      <w:r w:rsidR="002D0B43">
        <w:rPr>
          <w:b/>
          <w:sz w:val="24"/>
          <w:szCs w:val="24"/>
        </w:rPr>
        <w:t>s</w:t>
      </w:r>
      <w:r w:rsidR="00CD62AD" w:rsidRPr="00033A46">
        <w:rPr>
          <w:b/>
          <w:sz w:val="24"/>
          <w:szCs w:val="24"/>
        </w:rPr>
        <w:t xml:space="preserve"> and</w:t>
      </w:r>
      <w:r w:rsidR="00A53CDF">
        <w:rPr>
          <w:b/>
          <w:sz w:val="24"/>
          <w:szCs w:val="24"/>
        </w:rPr>
        <w:t xml:space="preserve"> area</w:t>
      </w:r>
      <w:r w:rsidR="00CD62AD" w:rsidRPr="00033A46">
        <w:rPr>
          <w:b/>
          <w:sz w:val="24"/>
          <w:szCs w:val="24"/>
        </w:rPr>
        <w:t xml:space="preserve"> </w:t>
      </w:r>
      <w:r w:rsidR="00FB628D">
        <w:rPr>
          <w:b/>
          <w:sz w:val="24"/>
          <w:szCs w:val="24"/>
        </w:rPr>
        <w:t xml:space="preserve">locations are available if UW-Whitewater on </w:t>
      </w:r>
      <w:r w:rsidR="00F253F7">
        <w:rPr>
          <w:b/>
          <w:sz w:val="24"/>
          <w:szCs w:val="24"/>
        </w:rPr>
        <w:t>August</w:t>
      </w:r>
      <w:r w:rsidR="00593568">
        <w:rPr>
          <w:b/>
          <w:sz w:val="24"/>
          <w:szCs w:val="24"/>
        </w:rPr>
        <w:t xml:space="preserve"> 1</w:t>
      </w:r>
      <w:r w:rsidR="00F253F7">
        <w:rPr>
          <w:b/>
          <w:sz w:val="24"/>
          <w:szCs w:val="24"/>
        </w:rPr>
        <w:t>3</w:t>
      </w:r>
      <w:r w:rsidR="00FB628D">
        <w:rPr>
          <w:b/>
          <w:sz w:val="24"/>
          <w:szCs w:val="24"/>
        </w:rPr>
        <w:t xml:space="preserve"> is not convenient for you</w:t>
      </w:r>
      <w:r w:rsidR="00CD62AD" w:rsidRPr="00033A46">
        <w:rPr>
          <w:b/>
          <w:sz w:val="24"/>
          <w:szCs w:val="24"/>
        </w:rPr>
        <w:t>.</w:t>
      </w:r>
    </w:p>
    <w:p w:rsidR="00033A46" w:rsidRDefault="00033A46" w:rsidP="00CC74A3">
      <w:pPr>
        <w:tabs>
          <w:tab w:val="left" w:pos="1350"/>
        </w:tabs>
        <w:rPr>
          <w:b/>
          <w:sz w:val="24"/>
          <w:szCs w:val="24"/>
        </w:rPr>
      </w:pPr>
    </w:p>
    <w:p w:rsidR="00033A46" w:rsidRDefault="00033A46" w:rsidP="00CC74A3">
      <w:pPr>
        <w:tabs>
          <w:tab w:val="left" w:pos="1350"/>
        </w:tabs>
        <w:rPr>
          <w:b/>
          <w:sz w:val="24"/>
          <w:szCs w:val="24"/>
        </w:rPr>
      </w:pPr>
      <w:r w:rsidRPr="00FD43E4">
        <w:rPr>
          <w:b/>
          <w:sz w:val="32"/>
          <w:szCs w:val="32"/>
        </w:rPr>
        <w:t>***</w:t>
      </w:r>
      <w:r w:rsidRPr="00FD43E4">
        <w:rPr>
          <w:b/>
          <w:sz w:val="40"/>
          <w:szCs w:val="40"/>
        </w:rPr>
        <w:t xml:space="preserve"> </w:t>
      </w:r>
      <w:r w:rsidR="005E2129">
        <w:rPr>
          <w:b/>
          <w:sz w:val="24"/>
          <w:szCs w:val="24"/>
        </w:rPr>
        <w:t xml:space="preserve">Ordering an estimate or </w:t>
      </w:r>
      <w:r>
        <w:rPr>
          <w:b/>
          <w:sz w:val="24"/>
          <w:szCs w:val="24"/>
        </w:rPr>
        <w:t>scheduling an appointment does</w:t>
      </w:r>
      <w:r w:rsidR="005E2129">
        <w:rPr>
          <w:b/>
          <w:sz w:val="24"/>
          <w:szCs w:val="24"/>
        </w:rPr>
        <w:t xml:space="preserve"> not </w:t>
      </w:r>
      <w:r>
        <w:rPr>
          <w:b/>
          <w:sz w:val="24"/>
          <w:szCs w:val="24"/>
        </w:rPr>
        <w:t>require you to retire</w:t>
      </w:r>
      <w:r w:rsidR="00FD43E4">
        <w:rPr>
          <w:b/>
          <w:sz w:val="24"/>
          <w:szCs w:val="24"/>
        </w:rPr>
        <w:t>.  This can be for informational purposes only if that is all you need.</w:t>
      </w:r>
    </w:p>
    <w:p w:rsidR="00FD43E4" w:rsidRPr="00033A46" w:rsidRDefault="00FD43E4" w:rsidP="00CC74A3">
      <w:pPr>
        <w:tabs>
          <w:tab w:val="left" w:pos="1350"/>
        </w:tabs>
        <w:rPr>
          <w:sz w:val="24"/>
          <w:szCs w:val="24"/>
        </w:rPr>
      </w:pPr>
    </w:p>
    <w:p w:rsidR="00D640C2" w:rsidRPr="00033A46" w:rsidRDefault="00F97924" w:rsidP="00033A46">
      <w:pPr>
        <w:tabs>
          <w:tab w:val="left" w:pos="1350"/>
        </w:tabs>
        <w:rPr>
          <w:sz w:val="24"/>
          <w:szCs w:val="24"/>
          <w:u w:val="single"/>
        </w:rPr>
      </w:pPr>
      <w:r w:rsidRPr="00033A46">
        <w:rPr>
          <w:b/>
          <w:sz w:val="40"/>
          <w:szCs w:val="40"/>
          <w:u w:val="single"/>
        </w:rPr>
        <w:t xml:space="preserve">CALL 877-533-5020 </w:t>
      </w:r>
      <w:r w:rsidR="00CD62AD" w:rsidRPr="00033A46">
        <w:rPr>
          <w:b/>
          <w:sz w:val="40"/>
          <w:szCs w:val="40"/>
          <w:u w:val="single"/>
        </w:rPr>
        <w:t>TOLL-FREE TO SCHEDULE</w:t>
      </w:r>
    </w:p>
    <w:sectPr w:rsidR="00D640C2" w:rsidRPr="00033A46" w:rsidSect="00FD43E4">
      <w:pgSz w:w="12240" w:h="15840" w:code="1"/>
      <w:pgMar w:top="547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F0" w:rsidRDefault="00C15DF0">
      <w:r>
        <w:separator/>
      </w:r>
    </w:p>
  </w:endnote>
  <w:endnote w:type="continuationSeparator" w:id="0">
    <w:p w:rsidR="00C15DF0" w:rsidRDefault="00C1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F0" w:rsidRDefault="00C15DF0">
      <w:r>
        <w:separator/>
      </w:r>
    </w:p>
  </w:footnote>
  <w:footnote w:type="continuationSeparator" w:id="0">
    <w:p w:rsidR="00C15DF0" w:rsidRDefault="00C1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29F0"/>
    <w:multiLevelType w:val="hybridMultilevel"/>
    <w:tmpl w:val="CC848900"/>
    <w:lvl w:ilvl="0" w:tplc="8BAE01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A3"/>
    <w:rsid w:val="00027B43"/>
    <w:rsid w:val="00033A46"/>
    <w:rsid w:val="000A1FB4"/>
    <w:rsid w:val="000C1604"/>
    <w:rsid w:val="001E43F5"/>
    <w:rsid w:val="002B619A"/>
    <w:rsid w:val="002D0B43"/>
    <w:rsid w:val="002E3564"/>
    <w:rsid w:val="002F35A7"/>
    <w:rsid w:val="00431D6E"/>
    <w:rsid w:val="004576B9"/>
    <w:rsid w:val="004E30BF"/>
    <w:rsid w:val="00521D18"/>
    <w:rsid w:val="005472F0"/>
    <w:rsid w:val="0058262B"/>
    <w:rsid w:val="00584AC2"/>
    <w:rsid w:val="00586E1A"/>
    <w:rsid w:val="00593568"/>
    <w:rsid w:val="00594E42"/>
    <w:rsid w:val="005E2129"/>
    <w:rsid w:val="00675BC8"/>
    <w:rsid w:val="006C1F01"/>
    <w:rsid w:val="007B09A1"/>
    <w:rsid w:val="007C5D3D"/>
    <w:rsid w:val="008F2B7B"/>
    <w:rsid w:val="0090559D"/>
    <w:rsid w:val="00974F3F"/>
    <w:rsid w:val="00984CFB"/>
    <w:rsid w:val="009965AC"/>
    <w:rsid w:val="009E69F0"/>
    <w:rsid w:val="00A53CDF"/>
    <w:rsid w:val="00AB57F3"/>
    <w:rsid w:val="00AD7460"/>
    <w:rsid w:val="00AE37AB"/>
    <w:rsid w:val="00B04317"/>
    <w:rsid w:val="00B43BB1"/>
    <w:rsid w:val="00B83491"/>
    <w:rsid w:val="00C15DF0"/>
    <w:rsid w:val="00CC74A3"/>
    <w:rsid w:val="00CD27A5"/>
    <w:rsid w:val="00CD62AD"/>
    <w:rsid w:val="00D2469A"/>
    <w:rsid w:val="00D640C2"/>
    <w:rsid w:val="00D82710"/>
    <w:rsid w:val="00E05254"/>
    <w:rsid w:val="00E719F5"/>
    <w:rsid w:val="00F253F7"/>
    <w:rsid w:val="00F97924"/>
    <w:rsid w:val="00FB628D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0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C1F0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6C1F01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C1F01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6C1F01"/>
    <w:pPr>
      <w:keepNext/>
      <w:jc w:val="center"/>
      <w:outlineLvl w:val="3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1F01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semiHidden/>
    <w:rsid w:val="006C1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F01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6C1F01"/>
  </w:style>
  <w:style w:type="paragraph" w:customStyle="1" w:styleId="InsideAddress">
    <w:name w:val="Inside Address"/>
    <w:basedOn w:val="Normal"/>
    <w:rsid w:val="006C1F01"/>
  </w:style>
  <w:style w:type="paragraph" w:styleId="Salutation">
    <w:name w:val="Salutation"/>
    <w:basedOn w:val="Normal"/>
    <w:next w:val="Normal"/>
    <w:semiHidden/>
    <w:rsid w:val="006C1F01"/>
  </w:style>
  <w:style w:type="paragraph" w:styleId="Date">
    <w:name w:val="Date"/>
    <w:basedOn w:val="Normal"/>
    <w:next w:val="Normal"/>
    <w:semiHidden/>
    <w:rsid w:val="006C1F01"/>
  </w:style>
  <w:style w:type="paragraph" w:styleId="Closing">
    <w:name w:val="Closing"/>
    <w:basedOn w:val="Normal"/>
    <w:semiHidden/>
    <w:rsid w:val="006C1F01"/>
  </w:style>
  <w:style w:type="paragraph" w:styleId="Signature">
    <w:name w:val="Signature"/>
    <w:basedOn w:val="Normal"/>
    <w:semiHidden/>
    <w:rsid w:val="006C1F01"/>
  </w:style>
  <w:style w:type="paragraph" w:styleId="BodyText">
    <w:name w:val="Body Text"/>
    <w:basedOn w:val="Normal"/>
    <w:semiHidden/>
    <w:rsid w:val="006C1F01"/>
    <w:pPr>
      <w:spacing w:after="120"/>
    </w:pPr>
  </w:style>
  <w:style w:type="paragraph" w:styleId="ListParagraph">
    <w:name w:val="List Paragraph"/>
    <w:basedOn w:val="Normal"/>
    <w:uiPriority w:val="34"/>
    <w:qFormat/>
    <w:rsid w:val="0003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1983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bajekt</dc:creator>
  <cp:lastModifiedBy>Staff</cp:lastModifiedBy>
  <cp:revision>2</cp:revision>
  <cp:lastPrinted>2012-01-25T22:23:00Z</cp:lastPrinted>
  <dcterms:created xsi:type="dcterms:W3CDTF">2013-07-26T12:46:00Z</dcterms:created>
  <dcterms:modified xsi:type="dcterms:W3CDTF">2013-07-26T12:46:00Z</dcterms:modified>
</cp:coreProperties>
</file>