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3991" w:tblpY="1531"/>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74"/>
        <w:gridCol w:w="1651"/>
        <w:gridCol w:w="2522"/>
        <w:gridCol w:w="748"/>
      </w:tblGrid>
      <w:tr w:rsidR="003D53F5" w:rsidRPr="00C42294" w14:paraId="5FF71367" w14:textId="77777777" w:rsidTr="003D53F5">
        <w:trPr>
          <w:trHeight w:val="633"/>
        </w:trPr>
        <w:tc>
          <w:tcPr>
            <w:tcW w:w="3297" w:type="dxa"/>
            <w:gridSpan w:val="2"/>
            <w:tcBorders>
              <w:top w:val="nil"/>
              <w:left w:val="nil"/>
              <w:bottom w:val="single" w:sz="4" w:space="0" w:color="auto"/>
            </w:tcBorders>
            <w:shd w:val="clear" w:color="auto" w:fill="auto"/>
          </w:tcPr>
          <w:p w14:paraId="53CF0C38" w14:textId="77777777" w:rsidR="003D53F5" w:rsidRPr="00B574AC" w:rsidRDefault="00245440" w:rsidP="003D53F5">
            <w:pPr>
              <w:spacing w:after="0" w:line="240" w:lineRule="auto"/>
              <w:jc w:val="center"/>
              <w:rPr>
                <w:i/>
                <w:szCs w:val="24"/>
              </w:rPr>
            </w:pPr>
            <w:r>
              <w:rPr>
                <w:sz w:val="36"/>
                <w:szCs w:val="24"/>
              </w:rPr>
              <w:t>Juveniles as Victims of Crime</w:t>
            </w:r>
          </w:p>
        </w:tc>
        <w:tc>
          <w:tcPr>
            <w:tcW w:w="1651" w:type="dxa"/>
            <w:tcBorders>
              <w:bottom w:val="single" w:sz="4" w:space="0" w:color="auto"/>
            </w:tcBorders>
            <w:shd w:val="clear" w:color="auto" w:fill="auto"/>
          </w:tcPr>
          <w:p w14:paraId="49149FE1" w14:textId="77777777" w:rsidR="003D53F5" w:rsidRPr="00B574AC" w:rsidRDefault="003D53F5" w:rsidP="003D53F5">
            <w:pPr>
              <w:spacing w:after="0" w:line="240" w:lineRule="auto"/>
              <w:rPr>
                <w:szCs w:val="24"/>
              </w:rPr>
            </w:pPr>
            <w:r w:rsidRPr="00B574AC">
              <w:rPr>
                <w:szCs w:val="24"/>
              </w:rPr>
              <w:t>Number:</w:t>
            </w:r>
          </w:p>
          <w:p w14:paraId="374644EB" w14:textId="77777777" w:rsidR="003D53F5" w:rsidRPr="00B574AC" w:rsidRDefault="00245440" w:rsidP="003D53F5">
            <w:pPr>
              <w:spacing w:after="0" w:line="240" w:lineRule="auto"/>
              <w:rPr>
                <w:szCs w:val="24"/>
              </w:rPr>
            </w:pPr>
            <w:r>
              <w:rPr>
                <w:szCs w:val="24"/>
              </w:rPr>
              <w:t>44.2.4</w:t>
            </w:r>
          </w:p>
        </w:tc>
        <w:tc>
          <w:tcPr>
            <w:tcW w:w="2522" w:type="dxa"/>
            <w:shd w:val="clear" w:color="auto" w:fill="auto"/>
          </w:tcPr>
          <w:p w14:paraId="1DCEBE78" w14:textId="77777777" w:rsidR="003D53F5" w:rsidRPr="00B574AC" w:rsidRDefault="003D53F5" w:rsidP="003D53F5">
            <w:pPr>
              <w:spacing w:after="0" w:line="240" w:lineRule="auto"/>
              <w:rPr>
                <w:szCs w:val="24"/>
              </w:rPr>
            </w:pPr>
            <w:r w:rsidRPr="00B574AC">
              <w:rPr>
                <w:szCs w:val="24"/>
              </w:rPr>
              <w:t xml:space="preserve">No. Pages:  </w:t>
            </w:r>
          </w:p>
          <w:p w14:paraId="1F6DC5EE" w14:textId="77777777" w:rsidR="003D53F5" w:rsidRPr="00B574AC" w:rsidRDefault="00245440" w:rsidP="003D53F5">
            <w:pPr>
              <w:spacing w:after="0" w:line="240" w:lineRule="auto"/>
              <w:rPr>
                <w:szCs w:val="24"/>
              </w:rPr>
            </w:pPr>
            <w:r>
              <w:rPr>
                <w:szCs w:val="24"/>
              </w:rPr>
              <w:t>2</w:t>
            </w:r>
          </w:p>
        </w:tc>
        <w:tc>
          <w:tcPr>
            <w:tcW w:w="748" w:type="dxa"/>
            <w:vMerge w:val="restart"/>
            <w:tcBorders>
              <w:top w:val="nil"/>
              <w:right w:val="nil"/>
            </w:tcBorders>
          </w:tcPr>
          <w:p w14:paraId="514F081D" w14:textId="77777777" w:rsidR="003D53F5" w:rsidRPr="00C42294" w:rsidRDefault="003D53F5" w:rsidP="003D53F5">
            <w:pPr>
              <w:spacing w:after="0" w:line="240" w:lineRule="auto"/>
              <w:jc w:val="center"/>
              <w:rPr>
                <w:rFonts w:ascii="Bodoni MT" w:hAnsi="Bodoni MT"/>
                <w:i/>
                <w:szCs w:val="24"/>
              </w:rPr>
            </w:pPr>
          </w:p>
        </w:tc>
      </w:tr>
      <w:tr w:rsidR="003D53F5" w:rsidRPr="00C42294" w14:paraId="783F39C1" w14:textId="77777777" w:rsidTr="00650BE5">
        <w:trPr>
          <w:trHeight w:val="602"/>
        </w:trPr>
        <w:tc>
          <w:tcPr>
            <w:tcW w:w="7470" w:type="dxa"/>
            <w:gridSpan w:val="4"/>
            <w:shd w:val="clear" w:color="auto" w:fill="auto"/>
          </w:tcPr>
          <w:p w14:paraId="24B05293" w14:textId="77777777" w:rsidR="003D53F5" w:rsidRDefault="003D53F5" w:rsidP="003D53F5">
            <w:pPr>
              <w:spacing w:after="0" w:line="240" w:lineRule="auto"/>
              <w:rPr>
                <w:szCs w:val="24"/>
              </w:rPr>
            </w:pPr>
            <w:r>
              <w:rPr>
                <w:szCs w:val="24"/>
              </w:rPr>
              <w:t>Special Instructions:</w:t>
            </w:r>
          </w:p>
          <w:p w14:paraId="1B5CAA6B" w14:textId="77777777" w:rsidR="003D53F5" w:rsidRPr="00B574AC" w:rsidRDefault="003D53F5" w:rsidP="003D53F5">
            <w:pPr>
              <w:spacing w:after="0" w:line="240" w:lineRule="auto"/>
              <w:rPr>
                <w:szCs w:val="24"/>
              </w:rPr>
            </w:pPr>
          </w:p>
        </w:tc>
        <w:tc>
          <w:tcPr>
            <w:tcW w:w="748" w:type="dxa"/>
            <w:vMerge/>
            <w:tcBorders>
              <w:bottom w:val="nil"/>
              <w:right w:val="nil"/>
            </w:tcBorders>
          </w:tcPr>
          <w:p w14:paraId="4D029C9E" w14:textId="77777777" w:rsidR="003D53F5" w:rsidRPr="00C42294" w:rsidRDefault="003D53F5" w:rsidP="003D53F5">
            <w:pPr>
              <w:spacing w:after="0" w:line="240" w:lineRule="auto"/>
              <w:jc w:val="center"/>
              <w:rPr>
                <w:rFonts w:ascii="Bodoni MT" w:hAnsi="Bodoni MT"/>
                <w:i/>
                <w:szCs w:val="24"/>
              </w:rPr>
            </w:pPr>
          </w:p>
        </w:tc>
      </w:tr>
      <w:tr w:rsidR="003D53F5" w:rsidRPr="00C42294" w14:paraId="1E3A5B31" w14:textId="77777777" w:rsidTr="003D53F5">
        <w:trPr>
          <w:trHeight w:val="788"/>
        </w:trPr>
        <w:tc>
          <w:tcPr>
            <w:tcW w:w="1723" w:type="dxa"/>
            <w:shd w:val="clear" w:color="auto" w:fill="auto"/>
          </w:tcPr>
          <w:p w14:paraId="2C979195" w14:textId="77777777" w:rsidR="003D53F5" w:rsidRPr="00B574AC" w:rsidRDefault="003D53F5" w:rsidP="003D53F5">
            <w:pPr>
              <w:spacing w:after="0" w:line="240" w:lineRule="auto"/>
              <w:rPr>
                <w:szCs w:val="24"/>
              </w:rPr>
            </w:pPr>
            <w:r w:rsidRPr="00B574AC">
              <w:rPr>
                <w:szCs w:val="24"/>
              </w:rPr>
              <w:t>Approved By:</w:t>
            </w:r>
          </w:p>
          <w:p w14:paraId="4DB8CD55" w14:textId="77777777" w:rsidR="003D53F5" w:rsidRPr="00B574AC" w:rsidRDefault="003D53F5" w:rsidP="003D53F5">
            <w:pPr>
              <w:spacing w:after="0" w:line="240" w:lineRule="auto"/>
              <w:rPr>
                <w:szCs w:val="24"/>
              </w:rPr>
            </w:pPr>
            <w:r w:rsidRPr="00B574AC">
              <w:rPr>
                <w:szCs w:val="24"/>
              </w:rPr>
              <w:t>Chief Kiederlen</w:t>
            </w:r>
          </w:p>
        </w:tc>
        <w:tc>
          <w:tcPr>
            <w:tcW w:w="1574" w:type="dxa"/>
            <w:shd w:val="clear" w:color="auto" w:fill="auto"/>
          </w:tcPr>
          <w:p w14:paraId="45AA054E" w14:textId="77777777" w:rsidR="003D53F5" w:rsidRPr="00B574AC" w:rsidRDefault="003D53F5" w:rsidP="003D53F5">
            <w:pPr>
              <w:spacing w:after="0" w:line="240" w:lineRule="auto"/>
              <w:rPr>
                <w:szCs w:val="24"/>
              </w:rPr>
            </w:pPr>
            <w:r w:rsidRPr="00B574AC">
              <w:rPr>
                <w:szCs w:val="24"/>
              </w:rPr>
              <w:t>Effective Date:</w:t>
            </w:r>
          </w:p>
          <w:p w14:paraId="269A497E" w14:textId="77777777" w:rsidR="003D53F5" w:rsidRPr="00B574AC" w:rsidRDefault="00245440" w:rsidP="003D53F5">
            <w:pPr>
              <w:spacing w:after="0" w:line="240" w:lineRule="auto"/>
              <w:rPr>
                <w:szCs w:val="24"/>
              </w:rPr>
            </w:pPr>
            <w:r>
              <w:rPr>
                <w:szCs w:val="24"/>
              </w:rPr>
              <w:t>2/26/2012</w:t>
            </w:r>
          </w:p>
        </w:tc>
        <w:tc>
          <w:tcPr>
            <w:tcW w:w="1651" w:type="dxa"/>
            <w:shd w:val="clear" w:color="auto" w:fill="auto"/>
          </w:tcPr>
          <w:p w14:paraId="08023D8B" w14:textId="77777777" w:rsidR="003D53F5" w:rsidRPr="00F05C82" w:rsidRDefault="003D53F5" w:rsidP="003D53F5">
            <w:pPr>
              <w:spacing w:after="0" w:line="240" w:lineRule="auto"/>
              <w:rPr>
                <w:szCs w:val="24"/>
              </w:rPr>
            </w:pPr>
            <w:r w:rsidRPr="00F05C82">
              <w:rPr>
                <w:szCs w:val="24"/>
              </w:rPr>
              <w:t>Revised Date:</w:t>
            </w:r>
          </w:p>
          <w:p w14:paraId="58FFBE02" w14:textId="29CA698C" w:rsidR="003D53F5" w:rsidRPr="00F05C82" w:rsidRDefault="00340369" w:rsidP="003D53F5">
            <w:pPr>
              <w:spacing w:after="0" w:line="240" w:lineRule="auto"/>
              <w:rPr>
                <w:szCs w:val="24"/>
              </w:rPr>
            </w:pPr>
            <w:r w:rsidRPr="00F05C82">
              <w:rPr>
                <w:szCs w:val="24"/>
              </w:rPr>
              <w:t>10/26/2022</w:t>
            </w:r>
          </w:p>
        </w:tc>
        <w:tc>
          <w:tcPr>
            <w:tcW w:w="2522" w:type="dxa"/>
            <w:shd w:val="clear" w:color="auto" w:fill="auto"/>
          </w:tcPr>
          <w:p w14:paraId="66293BA0" w14:textId="77777777" w:rsidR="003D53F5" w:rsidRPr="00F05C82" w:rsidRDefault="003D53F5" w:rsidP="003D53F5">
            <w:pPr>
              <w:spacing w:after="0" w:line="240" w:lineRule="auto"/>
              <w:rPr>
                <w:szCs w:val="24"/>
              </w:rPr>
            </w:pPr>
            <w:r w:rsidRPr="00F05C82">
              <w:rPr>
                <w:szCs w:val="24"/>
              </w:rPr>
              <w:t>Revision number:</w:t>
            </w:r>
          </w:p>
          <w:p w14:paraId="56E14E5A" w14:textId="0DC08EBA" w:rsidR="003D53F5" w:rsidRPr="00F05C82" w:rsidRDefault="00340369" w:rsidP="003D53F5">
            <w:pPr>
              <w:spacing w:after="0" w:line="240" w:lineRule="auto"/>
              <w:rPr>
                <w:szCs w:val="24"/>
              </w:rPr>
            </w:pPr>
            <w:r w:rsidRPr="00F05C82">
              <w:rPr>
                <w:szCs w:val="24"/>
              </w:rPr>
              <w:t>2</w:t>
            </w:r>
          </w:p>
        </w:tc>
        <w:tc>
          <w:tcPr>
            <w:tcW w:w="748" w:type="dxa"/>
            <w:vMerge/>
            <w:tcBorders>
              <w:bottom w:val="nil"/>
              <w:right w:val="nil"/>
            </w:tcBorders>
          </w:tcPr>
          <w:p w14:paraId="1C87BBBF" w14:textId="77777777" w:rsidR="003D53F5" w:rsidRPr="00C42294" w:rsidRDefault="003D53F5" w:rsidP="003D53F5">
            <w:pPr>
              <w:spacing w:after="0" w:line="240" w:lineRule="auto"/>
              <w:jc w:val="center"/>
              <w:rPr>
                <w:rFonts w:ascii="Bodoni MT" w:hAnsi="Bodoni MT"/>
                <w:i/>
                <w:szCs w:val="24"/>
              </w:rPr>
            </w:pPr>
          </w:p>
        </w:tc>
      </w:tr>
    </w:tbl>
    <w:p w14:paraId="3FC9213F" w14:textId="77777777" w:rsidR="008379DA" w:rsidRDefault="008379DA" w:rsidP="008379DA">
      <w:pPr>
        <w:pStyle w:val="Heading1"/>
        <w:numPr>
          <w:ilvl w:val="0"/>
          <w:numId w:val="0"/>
        </w:numPr>
        <w:ind w:left="360"/>
        <w:rPr>
          <w:rFonts w:asciiTheme="minorHAnsi" w:hAnsiTheme="minorHAnsi"/>
          <w:color w:val="0D0D0D" w:themeColor="text1" w:themeTint="F2"/>
          <w:sz w:val="32"/>
        </w:rPr>
      </w:pPr>
      <w:r>
        <w:rPr>
          <w:noProof/>
          <w:lang w:eastAsia="en-US"/>
        </w:rPr>
        <w:drawing>
          <wp:inline distT="0" distB="0" distL="0" distR="0" wp14:anchorId="0062D2C3" wp14:editId="6A3C2A66">
            <wp:extent cx="1243627" cy="15716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360" cy="1618046"/>
                    </a:xfrm>
                    <a:prstGeom prst="rect">
                      <a:avLst/>
                    </a:prstGeom>
                  </pic:spPr>
                </pic:pic>
              </a:graphicData>
            </a:graphic>
          </wp:inline>
        </w:drawing>
      </w:r>
    </w:p>
    <w:p w14:paraId="220D3B71" w14:textId="77777777" w:rsidR="003D53F5" w:rsidRPr="008379DA" w:rsidRDefault="003D53F5" w:rsidP="008379DA"/>
    <w:p w14:paraId="70AE1173" w14:textId="77777777" w:rsidR="00DC7CEC" w:rsidRDefault="004F5F70" w:rsidP="00DC7CEC">
      <w:pPr>
        <w:pStyle w:val="Heading1"/>
        <w:rPr>
          <w:rFonts w:asciiTheme="minorHAnsi" w:hAnsiTheme="minorHAnsi"/>
          <w:color w:val="0D0D0D" w:themeColor="text1" w:themeTint="F2"/>
          <w:sz w:val="32"/>
        </w:rPr>
      </w:pPr>
      <w:r w:rsidRPr="004F5F70">
        <w:rPr>
          <w:rFonts w:asciiTheme="minorHAnsi" w:hAnsiTheme="minorHAnsi"/>
          <w:color w:val="0D0D0D" w:themeColor="text1" w:themeTint="F2"/>
          <w:sz w:val="32"/>
        </w:rPr>
        <w:t>Purpose</w:t>
      </w:r>
    </w:p>
    <w:p w14:paraId="60E059D8" w14:textId="77777777" w:rsidR="004F5F70" w:rsidRPr="00CA3825" w:rsidRDefault="00245440" w:rsidP="00CA3825">
      <w:pPr>
        <w:ind w:left="720"/>
      </w:pPr>
      <w:r>
        <w:t>The purpose of this policy is to clarify with officers and the public</w:t>
      </w:r>
      <w:bookmarkStart w:id="0" w:name="_GoBack"/>
      <w:bookmarkEnd w:id="0"/>
      <w:r>
        <w:t xml:space="preserve"> the victim services that are available to juveniles as victims of crime. </w:t>
      </w:r>
    </w:p>
    <w:p w14:paraId="19E3910F" w14:textId="77777777" w:rsidR="00053C2F" w:rsidRDefault="008379DA">
      <w:pPr>
        <w:pStyle w:val="Heading1"/>
        <w:rPr>
          <w:rFonts w:asciiTheme="minorHAnsi" w:hAnsiTheme="minorHAnsi"/>
          <w:color w:val="0D0D0D" w:themeColor="text1" w:themeTint="F2"/>
          <w:sz w:val="32"/>
        </w:rPr>
      </w:pPr>
      <w:r>
        <w:rPr>
          <w:rFonts w:asciiTheme="minorHAnsi" w:hAnsiTheme="minorHAnsi"/>
          <w:color w:val="0D0D0D" w:themeColor="text1" w:themeTint="F2"/>
          <w:sz w:val="32"/>
        </w:rPr>
        <w:t>Policy</w:t>
      </w:r>
    </w:p>
    <w:p w14:paraId="4A409AE8" w14:textId="77777777" w:rsidR="00824F92" w:rsidRPr="00824F92" w:rsidRDefault="00CA3825" w:rsidP="00CA3825">
      <w:pPr>
        <w:ind w:left="720"/>
      </w:pPr>
      <w:r>
        <w:t xml:space="preserve">It is the policy of the UW-Whitewater Police Department (UWWPD) to respond to all victims of crimes with empathy. Staff at UWWPD function as a community and value-based police department and will strive to serve all victims as best they can. </w:t>
      </w:r>
    </w:p>
    <w:p w14:paraId="2B838170" w14:textId="77777777" w:rsidR="00053C2F" w:rsidRDefault="004F5F70">
      <w:pPr>
        <w:pStyle w:val="Heading1"/>
        <w:rPr>
          <w:rFonts w:asciiTheme="minorHAnsi" w:hAnsiTheme="minorHAnsi"/>
          <w:color w:val="0D0D0D" w:themeColor="text1" w:themeTint="F2"/>
          <w:sz w:val="32"/>
        </w:rPr>
      </w:pPr>
      <w:r w:rsidRPr="004F5F70">
        <w:rPr>
          <w:rFonts w:asciiTheme="minorHAnsi" w:hAnsiTheme="minorHAnsi"/>
          <w:color w:val="0D0D0D" w:themeColor="text1" w:themeTint="F2"/>
          <w:sz w:val="32"/>
        </w:rPr>
        <w:t>Procedure</w:t>
      </w:r>
    </w:p>
    <w:p w14:paraId="6F096047" w14:textId="77777777" w:rsidR="00824F92" w:rsidRDefault="00CA3825" w:rsidP="00CA3825">
      <w:pPr>
        <w:pStyle w:val="ListParagraph"/>
        <w:numPr>
          <w:ilvl w:val="0"/>
          <w:numId w:val="23"/>
        </w:numPr>
      </w:pPr>
      <w:r>
        <w:t>Dealing with Juveniles as Victims of a Crime</w:t>
      </w:r>
    </w:p>
    <w:p w14:paraId="55BF85A5" w14:textId="77777777" w:rsidR="00CA3825" w:rsidRDefault="00CA3825" w:rsidP="00CA3825">
      <w:pPr>
        <w:pStyle w:val="ListParagraph"/>
        <w:numPr>
          <w:ilvl w:val="0"/>
          <w:numId w:val="24"/>
        </w:numPr>
      </w:pPr>
      <w:r>
        <w:t xml:space="preserve">Officers will deal with Juvenile victims with the same empathy as any crime victim. Officers will be aware of the fact that juvenile victims may require the assistance of a parent or legal guardian prior to the interview. Officers will also follow </w:t>
      </w:r>
      <w:r w:rsidRPr="00CA3825">
        <w:t>GO 44.2.3</w:t>
      </w:r>
      <w:r>
        <w:t xml:space="preserve">-Custodial Interrogation of Juveniles. </w:t>
      </w:r>
    </w:p>
    <w:p w14:paraId="2F76DC8A" w14:textId="77777777" w:rsidR="00CA3825" w:rsidRDefault="00CA3825" w:rsidP="00CA3825">
      <w:pPr>
        <w:pStyle w:val="ListParagraph"/>
        <w:numPr>
          <w:ilvl w:val="0"/>
          <w:numId w:val="24"/>
        </w:numPr>
      </w:pPr>
      <w:r>
        <w:t>Officers should try to minimize the trauma of any sensitive crimes by limiting the number of times a victim will be interviewed by coordinating the full interview with all law enforcement and social service agencies involved in the investigation.</w:t>
      </w:r>
    </w:p>
    <w:p w14:paraId="7DF76C8D" w14:textId="054E327C" w:rsidR="00CA3825" w:rsidRDefault="00CA3825" w:rsidP="00CA3825">
      <w:pPr>
        <w:pStyle w:val="ListParagraph"/>
        <w:numPr>
          <w:ilvl w:val="0"/>
          <w:numId w:val="24"/>
        </w:numPr>
      </w:pPr>
      <w:r>
        <w:t xml:space="preserve">UWWPD is in a partnership with </w:t>
      </w:r>
      <w:r w:rsidRPr="00F05C82">
        <w:t>the Walworth County Multi-Jurisdictional Sexual Assault Response Team (MJ SART).  Officers should contact the UWWPD MJ SART Member</w:t>
      </w:r>
      <w:r>
        <w:t xml:space="preserve"> or the On-Duty/On-Call Supervisor for any sensitive crimes involving a juvenile.</w:t>
      </w:r>
    </w:p>
    <w:p w14:paraId="23F36CC1" w14:textId="3707266A" w:rsidR="000852B4" w:rsidRDefault="000852B4" w:rsidP="00CA3825">
      <w:pPr>
        <w:pStyle w:val="ListParagraph"/>
        <w:numPr>
          <w:ilvl w:val="0"/>
          <w:numId w:val="24"/>
        </w:numPr>
      </w:pPr>
      <w:r>
        <w:t xml:space="preserve">Juveniles may also be interviewed at Treehouse Child and Family Center in Walworth County. </w:t>
      </w:r>
    </w:p>
    <w:p w14:paraId="180C55EF" w14:textId="77777777" w:rsidR="00CA3825" w:rsidRPr="007F23F5" w:rsidRDefault="00CA3825" w:rsidP="00CA3825">
      <w:pPr>
        <w:pStyle w:val="ListParagraph"/>
        <w:numPr>
          <w:ilvl w:val="0"/>
          <w:numId w:val="24"/>
        </w:numPr>
      </w:pPr>
      <w:r w:rsidRPr="007F23F5">
        <w:t>At the end of the initial contact, all juveniles will be provided a Crime Victim Information Form that includes the date, officer’s name, Incident Number and Offender’s Name. This form has contact information for UWWPD, Wisconsin Department of Justice’s Office of Crime Victim Services, Victim Information and Notification Everyday</w:t>
      </w:r>
      <w:r w:rsidR="007F23F5" w:rsidRPr="007F23F5">
        <w:t xml:space="preserve"> (VINE)</w:t>
      </w:r>
      <w:r w:rsidRPr="007F23F5">
        <w:t xml:space="preserve"> and county contacts for the Sheriff’s Office, Human Service and District Attorney’s Office.</w:t>
      </w:r>
    </w:p>
    <w:p w14:paraId="2C497D47" w14:textId="77777777" w:rsidR="00CA3825" w:rsidRDefault="00CA3825" w:rsidP="00CA3825">
      <w:pPr>
        <w:pStyle w:val="ListParagraph"/>
        <w:numPr>
          <w:ilvl w:val="0"/>
          <w:numId w:val="24"/>
        </w:numPr>
      </w:pPr>
      <w:r>
        <w:lastRenderedPageBreak/>
        <w:t>Officers will not only keep the juvenile, but any parent or legal guardian appraised of the ongoing investigation.</w:t>
      </w:r>
    </w:p>
    <w:p w14:paraId="1A57E343" w14:textId="77777777" w:rsidR="00CA3825" w:rsidRDefault="00CA3825" w:rsidP="00CA3825">
      <w:pPr>
        <w:pStyle w:val="ListParagraph"/>
        <w:numPr>
          <w:ilvl w:val="0"/>
          <w:numId w:val="23"/>
        </w:numPr>
      </w:pPr>
      <w:r>
        <w:t>Resources Available to Juvenile Victims</w:t>
      </w:r>
    </w:p>
    <w:p w14:paraId="38B64C58" w14:textId="77777777" w:rsidR="00CA3825" w:rsidRDefault="00CA3825" w:rsidP="00CA3825">
      <w:pPr>
        <w:pStyle w:val="ListParagraph"/>
        <w:numPr>
          <w:ilvl w:val="0"/>
          <w:numId w:val="26"/>
        </w:numPr>
      </w:pPr>
      <w:r>
        <w:t>Walworth County Department of Health and Human Services would be the main resource available to juvenile victims or any juvenile referred that live in Walworth County.   Human Services Staff will most likely coordinate any follow up services for the victim, which may include below:</w:t>
      </w:r>
    </w:p>
    <w:p w14:paraId="449B9EFD" w14:textId="77777777" w:rsidR="00CA3825" w:rsidRDefault="00CA3825" w:rsidP="00CA3825">
      <w:pPr>
        <w:pStyle w:val="ListParagraph"/>
        <w:numPr>
          <w:ilvl w:val="1"/>
          <w:numId w:val="26"/>
        </w:numPr>
      </w:pPr>
      <w:r>
        <w:t>The Association for the Prevention of Family Violence (APFV).</w:t>
      </w:r>
      <w:r w:rsidRPr="00CA3825">
        <w:t xml:space="preserve"> </w:t>
      </w:r>
    </w:p>
    <w:p w14:paraId="212F33A4" w14:textId="77777777" w:rsidR="00CA3825" w:rsidRDefault="00CA3825" w:rsidP="00CA3825">
      <w:pPr>
        <w:pStyle w:val="ListParagraph"/>
        <w:numPr>
          <w:ilvl w:val="1"/>
          <w:numId w:val="26"/>
        </w:numPr>
      </w:pPr>
      <w:r>
        <w:t>Walworth County Victim Assistance Coordinator.</w:t>
      </w:r>
    </w:p>
    <w:p w14:paraId="2ADCEB5A" w14:textId="77777777" w:rsidR="00CA3825" w:rsidRDefault="00CA3825" w:rsidP="00CA3825">
      <w:pPr>
        <w:pStyle w:val="ListParagraph"/>
        <w:numPr>
          <w:ilvl w:val="0"/>
          <w:numId w:val="26"/>
        </w:numPr>
      </w:pPr>
      <w:r>
        <w:t>Jefferson County Human Services would be the main resource available to juvenile victims or any juvenile referred that live in Jefferson County. Human Service Staff will most likely coordinate any follow up services for the victim, which may include below.</w:t>
      </w:r>
    </w:p>
    <w:p w14:paraId="783DAE30" w14:textId="0B5CC1A9" w:rsidR="00CA3825" w:rsidRPr="00CF003D" w:rsidRDefault="00B43F98" w:rsidP="00CA3825">
      <w:pPr>
        <w:pStyle w:val="ListParagraph"/>
        <w:numPr>
          <w:ilvl w:val="1"/>
          <w:numId w:val="26"/>
        </w:numPr>
      </w:pPr>
      <w:r w:rsidRPr="00CF003D">
        <w:t xml:space="preserve">Protect, Advocate, Validate and Educate (PAVE). </w:t>
      </w:r>
    </w:p>
    <w:p w14:paraId="7150671D" w14:textId="77777777" w:rsidR="00CA3825" w:rsidRDefault="00CA3825" w:rsidP="00CA3825">
      <w:pPr>
        <w:pStyle w:val="ListParagraph"/>
        <w:numPr>
          <w:ilvl w:val="1"/>
          <w:numId w:val="26"/>
        </w:numPr>
      </w:pPr>
      <w:r>
        <w:t xml:space="preserve">Jefferson County Victim Assistance Coordinator. </w:t>
      </w:r>
    </w:p>
    <w:p w14:paraId="3490B128" w14:textId="77777777" w:rsidR="00CA3825" w:rsidRDefault="00CA3825" w:rsidP="00CA3825">
      <w:pPr>
        <w:pStyle w:val="ListParagraph"/>
        <w:numPr>
          <w:ilvl w:val="0"/>
          <w:numId w:val="26"/>
        </w:numPr>
      </w:pPr>
      <w:r>
        <w:t>Juvenile victims may be referred for assistance to the county in which they currently reside, if they do not reside in Jefferson or Walworth County. UWWPD Staff will coordinate the services with the county the juvenile is from. In some situations, Child Protective Services (CPS) maybe involved in the investigation and will assist with victim services for the Juvenile.</w:t>
      </w:r>
    </w:p>
    <w:p w14:paraId="2DE91B7B" w14:textId="77777777" w:rsidR="00CA3825" w:rsidRDefault="00CA3825" w:rsidP="00CA3825">
      <w:pPr>
        <w:pStyle w:val="ListParagraph"/>
        <w:numPr>
          <w:ilvl w:val="0"/>
          <w:numId w:val="26"/>
        </w:numPr>
      </w:pPr>
      <w:r>
        <w:t>UWWPD has some resources available that can be used by crime victims of any age. Below is a listing of some of the services available.</w:t>
      </w:r>
    </w:p>
    <w:p w14:paraId="62D01041" w14:textId="77777777" w:rsidR="00CA3825" w:rsidRDefault="00CA3825" w:rsidP="00CA3825">
      <w:pPr>
        <w:pStyle w:val="ListParagraph"/>
        <w:numPr>
          <w:ilvl w:val="1"/>
          <w:numId w:val="26"/>
        </w:numPr>
      </w:pPr>
      <w:r>
        <w:t>Safety Escort through UWWPD using Police Officers and Campus Service Officers.</w:t>
      </w:r>
    </w:p>
    <w:p w14:paraId="630C6DE5" w14:textId="77777777" w:rsidR="00CA3825" w:rsidRDefault="00CA3825" w:rsidP="00CA3825">
      <w:pPr>
        <w:pStyle w:val="ListParagraph"/>
        <w:numPr>
          <w:ilvl w:val="1"/>
          <w:numId w:val="26"/>
        </w:numPr>
      </w:pPr>
      <w:r>
        <w:t>Educational Programming for prevention of future events.</w:t>
      </w:r>
    </w:p>
    <w:p w14:paraId="6EE0D3B0" w14:textId="77777777" w:rsidR="00CA3825" w:rsidRDefault="00CA3825" w:rsidP="00CA3825">
      <w:pPr>
        <w:pStyle w:val="ListParagraph"/>
        <w:numPr>
          <w:ilvl w:val="1"/>
          <w:numId w:val="26"/>
        </w:numPr>
      </w:pPr>
      <w:r>
        <w:t>Residence Hall Liaison Officer that does foot patrol and training with juveniles that use On Campus Housing for events during the Summer Months.</w:t>
      </w:r>
    </w:p>
    <w:p w14:paraId="467CD261" w14:textId="77777777" w:rsidR="00CA3825" w:rsidRDefault="00CA3825" w:rsidP="00CA3825">
      <w:pPr>
        <w:pStyle w:val="ListParagraph"/>
        <w:numPr>
          <w:ilvl w:val="0"/>
          <w:numId w:val="26"/>
        </w:numPr>
      </w:pPr>
      <w:r>
        <w:t>UW-Whitewater also has some resources that are available to juveniles that are students at UW-Whitewater. Below is a listing:</w:t>
      </w:r>
    </w:p>
    <w:p w14:paraId="3D9FAA01" w14:textId="77777777" w:rsidR="00CA3825" w:rsidRPr="00940757" w:rsidRDefault="00CA3825" w:rsidP="00CA3825">
      <w:pPr>
        <w:pStyle w:val="ListParagraph"/>
        <w:numPr>
          <w:ilvl w:val="1"/>
          <w:numId w:val="26"/>
        </w:numPr>
      </w:pPr>
      <w:r w:rsidRPr="00940757">
        <w:t>Sexual Assault Survivors Assistance;</w:t>
      </w:r>
    </w:p>
    <w:p w14:paraId="3149CF3E" w14:textId="77777777" w:rsidR="00CA3825" w:rsidRDefault="00CA3825" w:rsidP="00CA3825">
      <w:pPr>
        <w:pStyle w:val="ListParagraph"/>
        <w:numPr>
          <w:ilvl w:val="1"/>
          <w:numId w:val="26"/>
        </w:numPr>
      </w:pPr>
      <w:r>
        <w:t>University Health and Counseling Services;</w:t>
      </w:r>
    </w:p>
    <w:p w14:paraId="77A0400F" w14:textId="77777777" w:rsidR="00CA3825" w:rsidRDefault="00CA3825" w:rsidP="00CA3825">
      <w:pPr>
        <w:pStyle w:val="ListParagraph"/>
        <w:numPr>
          <w:ilvl w:val="1"/>
          <w:numId w:val="26"/>
        </w:numPr>
      </w:pPr>
      <w:proofErr w:type="spellStart"/>
      <w:r>
        <w:t>Winther</w:t>
      </w:r>
      <w:proofErr w:type="spellEnd"/>
      <w:r>
        <w:t xml:space="preserve"> Hall Counseling Laboratory;</w:t>
      </w:r>
    </w:p>
    <w:p w14:paraId="59C664AD" w14:textId="162DFF2D" w:rsidR="00CA3825" w:rsidRPr="00CF003D" w:rsidRDefault="00940757" w:rsidP="00CA3825">
      <w:pPr>
        <w:pStyle w:val="ListParagraph"/>
        <w:numPr>
          <w:ilvl w:val="1"/>
          <w:numId w:val="26"/>
        </w:numPr>
      </w:pPr>
      <w:r w:rsidRPr="00CF003D">
        <w:t>Dean of Students Office</w:t>
      </w:r>
      <w:r w:rsidR="00CA3825" w:rsidRPr="00CF003D">
        <w:t>;</w:t>
      </w:r>
    </w:p>
    <w:p w14:paraId="4509D4F3" w14:textId="77777777" w:rsidR="00940757" w:rsidRPr="00CF003D" w:rsidRDefault="00CA3825" w:rsidP="00CA3825">
      <w:pPr>
        <w:pStyle w:val="ListParagraph"/>
        <w:numPr>
          <w:ilvl w:val="1"/>
          <w:numId w:val="26"/>
        </w:numPr>
      </w:pPr>
      <w:r w:rsidRPr="00CF003D">
        <w:t>Center for Students with Disabilities</w:t>
      </w:r>
      <w:r w:rsidR="00940757" w:rsidRPr="00CF003D">
        <w:t>;</w:t>
      </w:r>
    </w:p>
    <w:p w14:paraId="2B1129F9" w14:textId="0A7FB0ED" w:rsidR="00CA3825" w:rsidRPr="00CF003D" w:rsidRDefault="00940757" w:rsidP="00CA3825">
      <w:pPr>
        <w:pStyle w:val="ListParagraph"/>
        <w:numPr>
          <w:ilvl w:val="1"/>
          <w:numId w:val="26"/>
        </w:numPr>
      </w:pPr>
      <w:r w:rsidRPr="00CF003D">
        <w:t>Continuing Education</w:t>
      </w:r>
      <w:r w:rsidR="00CA3825" w:rsidRPr="00CF003D">
        <w:t>.</w:t>
      </w:r>
    </w:p>
    <w:p w14:paraId="4C84093A" w14:textId="77777777" w:rsidR="00CA3825" w:rsidRPr="004F5F70" w:rsidRDefault="00CA3825" w:rsidP="00CA3825">
      <w:pPr>
        <w:pStyle w:val="ListParagraph"/>
        <w:ind w:left="2520"/>
      </w:pPr>
    </w:p>
    <w:sectPr w:rsidR="00CA3825" w:rsidRPr="004F5F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C253" w14:textId="77777777" w:rsidR="00015853" w:rsidRDefault="00015853">
      <w:pPr>
        <w:spacing w:after="0" w:line="240" w:lineRule="auto"/>
      </w:pPr>
      <w:r>
        <w:separator/>
      </w:r>
    </w:p>
  </w:endnote>
  <w:endnote w:type="continuationSeparator" w:id="0">
    <w:p w14:paraId="4AC48463" w14:textId="77777777" w:rsidR="00015853" w:rsidRDefault="0001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159220"/>
      <w:docPartObj>
        <w:docPartGallery w:val="Page Numbers (Bottom of Page)"/>
        <w:docPartUnique/>
      </w:docPartObj>
    </w:sdtPr>
    <w:sdtEndPr/>
    <w:sdtContent>
      <w:sdt>
        <w:sdtPr>
          <w:id w:val="-1705238520"/>
          <w:docPartObj>
            <w:docPartGallery w:val="Page Numbers (Top of Page)"/>
            <w:docPartUnique/>
          </w:docPartObj>
        </w:sdtPr>
        <w:sdtEndPr/>
        <w:sdtContent>
          <w:p w14:paraId="18EBAD7C" w14:textId="77777777" w:rsidR="00DC7CEC" w:rsidRDefault="00DC7CE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76B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6BF0">
              <w:rPr>
                <w:b/>
                <w:bCs/>
                <w:noProof/>
              </w:rPr>
              <w:t>1</w:t>
            </w:r>
            <w:r>
              <w:rPr>
                <w:b/>
                <w:bCs/>
                <w:sz w:val="24"/>
                <w:szCs w:val="24"/>
              </w:rPr>
              <w:fldChar w:fldCharType="end"/>
            </w:r>
            <w:r w:rsidR="00A76BF0">
              <w:rPr>
                <w:b/>
                <w:bCs/>
                <w:sz w:val="24"/>
                <w:szCs w:val="24"/>
              </w:rPr>
              <w:tab/>
              <w:t>UWWPD</w:t>
            </w:r>
            <w:r>
              <w:rPr>
                <w:b/>
                <w:bCs/>
                <w:sz w:val="24"/>
                <w:szCs w:val="24"/>
              </w:rPr>
              <w:t xml:space="preserve"> GO </w:t>
            </w:r>
            <w:r w:rsidR="00245440">
              <w:rPr>
                <w:b/>
                <w:bCs/>
                <w:sz w:val="24"/>
                <w:szCs w:val="24"/>
              </w:rPr>
              <w:t>44.2.4</w:t>
            </w:r>
          </w:p>
        </w:sdtContent>
      </w:sdt>
    </w:sdtContent>
  </w:sdt>
  <w:p w14:paraId="246B20ED" w14:textId="77777777" w:rsidR="00053C2F" w:rsidRDefault="0005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32D4" w14:textId="77777777" w:rsidR="00015853" w:rsidRDefault="00015853">
      <w:pPr>
        <w:spacing w:after="0" w:line="240" w:lineRule="auto"/>
      </w:pPr>
      <w:r>
        <w:separator/>
      </w:r>
    </w:p>
  </w:footnote>
  <w:footnote w:type="continuationSeparator" w:id="0">
    <w:p w14:paraId="4005DF76" w14:textId="77777777" w:rsidR="00015853" w:rsidRDefault="0001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8827" w14:textId="77777777" w:rsidR="00B574AC" w:rsidRPr="00DC7CEC" w:rsidRDefault="00DF59F8" w:rsidP="00DC7CEC">
    <w:pPr>
      <w:pStyle w:val="Header"/>
      <w:jc w:val="center"/>
      <w:rPr>
        <w:sz w:val="36"/>
      </w:rPr>
    </w:pPr>
    <w:r>
      <w:rPr>
        <w:sz w:val="36"/>
      </w:rPr>
      <w:t>UW Whitewater Police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4E0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BED6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7038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A9E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A286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428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8421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F086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84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B846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B14E51"/>
    <w:multiLevelType w:val="hybridMultilevel"/>
    <w:tmpl w:val="6A40A5C6"/>
    <w:lvl w:ilvl="0" w:tplc="09E6F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3F2111"/>
    <w:multiLevelType w:val="hybridMultilevel"/>
    <w:tmpl w:val="580AE9E0"/>
    <w:lvl w:ilvl="0" w:tplc="34F03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6D03C8"/>
    <w:multiLevelType w:val="hybridMultilevel"/>
    <w:tmpl w:val="06D8C6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E85D8E"/>
    <w:multiLevelType w:val="hybridMultilevel"/>
    <w:tmpl w:val="2F149C16"/>
    <w:lvl w:ilvl="0" w:tplc="6340097E">
      <w:start w:val="1"/>
      <w:numFmt w:val="upperLetter"/>
      <w:lvlText w:val="%1."/>
      <w:lvlJc w:val="left"/>
      <w:pPr>
        <w:ind w:left="1080" w:hanging="360"/>
      </w:pPr>
      <w:rPr>
        <w:rFonts w:asciiTheme="minorHAnsi" w:eastAsiaTheme="minorEastAsia" w:hAnsiTheme="minorHAnsi" w:cstheme="minorBidi"/>
      </w:rPr>
    </w:lvl>
    <w:lvl w:ilvl="1" w:tplc="27F43B2E">
      <w:start w:val="1"/>
      <w:numFmt w:val="decimal"/>
      <w:lvlText w:val="%2."/>
      <w:lvlJc w:val="left"/>
      <w:pPr>
        <w:ind w:left="1800" w:hanging="360"/>
      </w:pPr>
      <w:rPr>
        <w:rFonts w:asciiTheme="minorHAnsi" w:eastAsiaTheme="minorEastAsia" w:hAnsiTheme="minorHAnsi" w:cstheme="minorBidi"/>
      </w:rPr>
    </w:lvl>
    <w:lvl w:ilvl="2" w:tplc="BBBEFD60">
      <w:start w:val="1"/>
      <w:numFmt w:val="decimal"/>
      <w:lvlText w:val="%3."/>
      <w:lvlJc w:val="right"/>
      <w:pPr>
        <w:ind w:left="2520" w:hanging="180"/>
      </w:pPr>
      <w:rPr>
        <w:rFonts w:asciiTheme="minorHAnsi" w:eastAsiaTheme="minorEastAsia"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C207C"/>
    <w:multiLevelType w:val="hybridMultilevel"/>
    <w:tmpl w:val="8CBA5E1C"/>
    <w:lvl w:ilvl="0" w:tplc="5D9815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BA6443"/>
    <w:multiLevelType w:val="hybridMultilevel"/>
    <w:tmpl w:val="70FE5872"/>
    <w:lvl w:ilvl="0" w:tplc="1F1CC152">
      <w:start w:val="1"/>
      <w:numFmt w:val="upperLetter"/>
      <w:lvlText w:val="%1."/>
      <w:lvlJc w:val="left"/>
      <w:pPr>
        <w:ind w:left="1080" w:hanging="360"/>
      </w:pPr>
      <w:rPr>
        <w:rFonts w:asciiTheme="minorHAnsi" w:eastAsiaTheme="minorEastAsia" w:hAnsiTheme="minorHAnsi" w:cstheme="minorBidi"/>
      </w:rPr>
    </w:lvl>
    <w:lvl w:ilvl="1" w:tplc="9CD40B92">
      <w:start w:val="1"/>
      <w:numFmt w:val="upperLetter"/>
      <w:lvlText w:val="%2."/>
      <w:lvlJc w:val="left"/>
      <w:pPr>
        <w:ind w:left="1800" w:hanging="360"/>
      </w:pPr>
      <w:rPr>
        <w:rFonts w:asciiTheme="minorHAnsi" w:eastAsiaTheme="minorEastAsia" w:hAnsiTheme="minorHAnsi" w:cstheme="minorBidi"/>
      </w:rPr>
    </w:lvl>
    <w:lvl w:ilvl="2" w:tplc="3D928282">
      <w:start w:val="1"/>
      <w:numFmt w:val="decimal"/>
      <w:lvlText w:val="%3."/>
      <w:lvlJc w:val="right"/>
      <w:pPr>
        <w:ind w:left="2520" w:hanging="180"/>
      </w:pPr>
      <w:rPr>
        <w:rFonts w:asciiTheme="minorHAnsi" w:eastAsiaTheme="minorEastAsia"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DB0835"/>
    <w:multiLevelType w:val="hybridMultilevel"/>
    <w:tmpl w:val="A43C44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B5737D"/>
    <w:multiLevelType w:val="hybridMultilevel"/>
    <w:tmpl w:val="80001804"/>
    <w:lvl w:ilvl="0" w:tplc="2FD21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634807"/>
    <w:multiLevelType w:val="hybridMultilevel"/>
    <w:tmpl w:val="48765920"/>
    <w:lvl w:ilvl="0" w:tplc="8D9C24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A7871DB"/>
    <w:multiLevelType w:val="hybridMultilevel"/>
    <w:tmpl w:val="B4A838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AE40AF"/>
    <w:multiLevelType w:val="hybridMultilevel"/>
    <w:tmpl w:val="8AC2C5FC"/>
    <w:lvl w:ilvl="0" w:tplc="23F6018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A5E86"/>
    <w:multiLevelType w:val="hybridMultilevel"/>
    <w:tmpl w:val="B928C64E"/>
    <w:lvl w:ilvl="0" w:tplc="9BA6C6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9F7C02"/>
    <w:multiLevelType w:val="hybridMultilevel"/>
    <w:tmpl w:val="3D96EFEC"/>
    <w:lvl w:ilvl="0" w:tplc="204679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CBE0684"/>
    <w:multiLevelType w:val="hybridMultilevel"/>
    <w:tmpl w:val="CE981E60"/>
    <w:lvl w:ilvl="0" w:tplc="25F44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733A80"/>
    <w:multiLevelType w:val="hybridMultilevel"/>
    <w:tmpl w:val="AFEC8B9A"/>
    <w:lvl w:ilvl="0" w:tplc="B664A7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6"/>
  </w:num>
  <w:num w:numId="14">
    <w:abstractNumId w:val="23"/>
  </w:num>
  <w:num w:numId="15">
    <w:abstractNumId w:val="20"/>
    <w:lvlOverride w:ilvl="0">
      <w:startOverride w:val="1"/>
    </w:lvlOverride>
  </w:num>
  <w:num w:numId="16">
    <w:abstractNumId w:val="15"/>
  </w:num>
  <w:num w:numId="17">
    <w:abstractNumId w:val="13"/>
  </w:num>
  <w:num w:numId="18">
    <w:abstractNumId w:val="17"/>
  </w:num>
  <w:num w:numId="19">
    <w:abstractNumId w:val="12"/>
  </w:num>
  <w:num w:numId="20">
    <w:abstractNumId w:val="19"/>
  </w:num>
  <w:num w:numId="21">
    <w:abstractNumId w:val="22"/>
  </w:num>
  <w:num w:numId="22">
    <w:abstractNumId w:val="18"/>
  </w:num>
  <w:num w:numId="23">
    <w:abstractNumId w:val="14"/>
  </w:num>
  <w:num w:numId="24">
    <w:abstractNumId w:val="11"/>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AC"/>
    <w:rsid w:val="00015853"/>
    <w:rsid w:val="00053C2F"/>
    <w:rsid w:val="000852B4"/>
    <w:rsid w:val="00245440"/>
    <w:rsid w:val="00340369"/>
    <w:rsid w:val="00395B38"/>
    <w:rsid w:val="003D53F5"/>
    <w:rsid w:val="00401302"/>
    <w:rsid w:val="004F5F70"/>
    <w:rsid w:val="005C0C98"/>
    <w:rsid w:val="00650BE5"/>
    <w:rsid w:val="00774511"/>
    <w:rsid w:val="007F23F5"/>
    <w:rsid w:val="00824F92"/>
    <w:rsid w:val="008379DA"/>
    <w:rsid w:val="00854844"/>
    <w:rsid w:val="00940757"/>
    <w:rsid w:val="00944418"/>
    <w:rsid w:val="009500BE"/>
    <w:rsid w:val="00A76BF0"/>
    <w:rsid w:val="00B32863"/>
    <w:rsid w:val="00B43F98"/>
    <w:rsid w:val="00B574AC"/>
    <w:rsid w:val="00B72AAA"/>
    <w:rsid w:val="00B9356B"/>
    <w:rsid w:val="00BD3A80"/>
    <w:rsid w:val="00C544C7"/>
    <w:rsid w:val="00CA3825"/>
    <w:rsid w:val="00CF003D"/>
    <w:rsid w:val="00D32A9E"/>
    <w:rsid w:val="00D77EAD"/>
    <w:rsid w:val="00DC7CEC"/>
    <w:rsid w:val="00DC7F60"/>
    <w:rsid w:val="00DD700E"/>
    <w:rsid w:val="00DF59F8"/>
    <w:rsid w:val="00F05C82"/>
    <w:rsid w:val="00F6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7E2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numPr>
        <w:numId w:val="11"/>
      </w:numPr>
      <w:spacing w:before="120" w:after="0"/>
      <w:outlineLvl w:val="0"/>
    </w:pPr>
    <w:rPr>
      <w:rFonts w:asciiTheme="majorHAnsi" w:eastAsiaTheme="majorEastAsia" w:hAnsiTheme="majorHAnsi" w:cstheme="majorBidi"/>
      <w:b/>
      <w:bCs/>
      <w:color w:val="93A299" w:themeColor="accent1"/>
      <w:sz w:val="26"/>
      <w:szCs w:val="26"/>
    </w:rPr>
  </w:style>
  <w:style w:type="paragraph" w:styleId="Heading2">
    <w:name w:val="heading 2"/>
    <w:basedOn w:val="Normal"/>
    <w:next w:val="Normal"/>
    <w:link w:val="Heading2Char"/>
    <w:uiPriority w:val="9"/>
    <w:unhideWhenUsed/>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semiHidden/>
    <w:unhideWhenUsed/>
    <w:pPr>
      <w:keepNext/>
      <w:keepLines/>
      <w:spacing w:before="200" w:after="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24B"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24B"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93A299"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qFormat/>
    <w:pPr>
      <w:pBdr>
        <w:bottom w:val="single" w:sz="8" w:space="4" w:color="93A299" w:themeColor="accent1"/>
      </w:pBdr>
      <w:spacing w:after="300" w:line="240" w:lineRule="auto"/>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3A299"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24B"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24B"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93A299"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93A299" w:themeColor="accent1"/>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right" w:pos="9360"/>
      </w:tabs>
      <w:spacing w:after="0" w:line="240" w:lineRule="auto"/>
    </w:pPr>
    <w:rPr>
      <w:smallCaps/>
    </w:rPr>
  </w:style>
  <w:style w:type="character" w:customStyle="1" w:styleId="FooterChar">
    <w:name w:val="Footer Char"/>
    <w:basedOn w:val="DefaultParagraphFont"/>
    <w:link w:val="Footer"/>
    <w:uiPriority w:val="99"/>
    <w:rPr>
      <w:smallCaps/>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ListBullet">
    <w:name w:val="List Bullet"/>
    <w:basedOn w:val="Normal"/>
    <w:unhideWhenUsed/>
    <w:qFormat/>
    <w:pPr>
      <w:numPr>
        <w:numId w:val="1"/>
      </w:numPr>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qFormat/>
    <w:pPr>
      <w:spacing w:after="360"/>
      <w:jc w:val="center"/>
    </w:pPr>
    <w:rPr>
      <w:sz w:val="16"/>
      <w:szCs w:val="16"/>
    </w:rPr>
  </w:style>
  <w:style w:type="paragraph" w:customStyle="1" w:styleId="Default">
    <w:name w:val="Default"/>
    <w:rsid w:val="005C0C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DD700E"/>
    <w:pPr>
      <w:ind w:left="720"/>
      <w:contextualSpacing/>
    </w:pPr>
  </w:style>
  <w:style w:type="character" w:styleId="Hyperlink">
    <w:name w:val="Hyperlink"/>
    <w:basedOn w:val="DefaultParagraphFont"/>
    <w:uiPriority w:val="99"/>
    <w:unhideWhenUsed/>
    <w:rsid w:val="00CA3825"/>
    <w:rPr>
      <w:color w:val="CCCC00" w:themeColor="hyperlink"/>
      <w:u w:val="single"/>
    </w:rPr>
  </w:style>
  <w:style w:type="character" w:styleId="CommentReference">
    <w:name w:val="annotation reference"/>
    <w:basedOn w:val="DefaultParagraphFont"/>
    <w:uiPriority w:val="99"/>
    <w:semiHidden/>
    <w:unhideWhenUsed/>
    <w:rsid w:val="00CA3825"/>
    <w:rPr>
      <w:sz w:val="16"/>
      <w:szCs w:val="16"/>
    </w:rPr>
  </w:style>
  <w:style w:type="paragraph" w:styleId="CommentText">
    <w:name w:val="annotation text"/>
    <w:basedOn w:val="Normal"/>
    <w:link w:val="CommentTextChar"/>
    <w:uiPriority w:val="99"/>
    <w:semiHidden/>
    <w:unhideWhenUsed/>
    <w:rsid w:val="00CA3825"/>
    <w:pPr>
      <w:spacing w:line="240" w:lineRule="auto"/>
    </w:pPr>
    <w:rPr>
      <w:sz w:val="20"/>
      <w:szCs w:val="20"/>
    </w:rPr>
  </w:style>
  <w:style w:type="character" w:customStyle="1" w:styleId="CommentTextChar">
    <w:name w:val="Comment Text Char"/>
    <w:basedOn w:val="DefaultParagraphFont"/>
    <w:link w:val="CommentText"/>
    <w:uiPriority w:val="99"/>
    <w:semiHidden/>
    <w:rsid w:val="00CA3825"/>
    <w:rPr>
      <w:sz w:val="20"/>
      <w:szCs w:val="20"/>
    </w:rPr>
  </w:style>
  <w:style w:type="paragraph" w:styleId="CommentSubject">
    <w:name w:val="annotation subject"/>
    <w:basedOn w:val="CommentText"/>
    <w:next w:val="CommentText"/>
    <w:link w:val="CommentSubjectChar"/>
    <w:uiPriority w:val="99"/>
    <w:semiHidden/>
    <w:unhideWhenUsed/>
    <w:rsid w:val="00CA3825"/>
    <w:rPr>
      <w:b/>
      <w:bCs/>
    </w:rPr>
  </w:style>
  <w:style w:type="character" w:customStyle="1" w:styleId="CommentSubjectChar">
    <w:name w:val="Comment Subject Char"/>
    <w:basedOn w:val="CommentTextChar"/>
    <w:link w:val="CommentSubject"/>
    <w:uiPriority w:val="99"/>
    <w:semiHidden/>
    <w:rsid w:val="00CA3825"/>
    <w:rPr>
      <w:b/>
      <w:bCs/>
      <w:sz w:val="20"/>
      <w:szCs w:val="20"/>
    </w:rPr>
  </w:style>
  <w:style w:type="paragraph" w:styleId="BalloonText">
    <w:name w:val="Balloon Text"/>
    <w:basedOn w:val="Normal"/>
    <w:link w:val="BalloonTextChar"/>
    <w:uiPriority w:val="99"/>
    <w:semiHidden/>
    <w:unhideWhenUsed/>
    <w:rsid w:val="00CA3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ners\AppData\Roaming\Microsoft\Templates\Investment%20club%20partnership%20agree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DE7B-FCED-4F4F-AD3A-E4FD826A7FE7}">
  <ds:schemaRefs>
    <ds:schemaRef ds:uri="http://schemas.microsoft.com/sharepoint/v3/contenttype/forms"/>
  </ds:schemaRefs>
</ds:datastoreItem>
</file>

<file path=customXml/itemProps2.xml><?xml version="1.0" encoding="utf-8"?>
<ds:datastoreItem xmlns:ds="http://schemas.openxmlformats.org/officeDocument/2006/customXml" ds:itemID="{B9388A3E-6EF8-4A59-8CD3-C0C8A7A0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Investment club partnership agreement</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UW- Whitewater Police Services</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Whitewater Police Services</dc:title>
  <dc:creator/>
  <cp:keywords/>
  <cp:lastModifiedBy/>
  <cp:revision>1</cp:revision>
  <dcterms:created xsi:type="dcterms:W3CDTF">2022-10-26T13:53:00Z</dcterms:created>
  <dcterms:modified xsi:type="dcterms:W3CDTF">2022-11-17T21:55:00Z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TC034630739991</vt:lpwstr>
  </property>
</Properties>
</file>