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E04FA2" w:rsidRDefault="002A5E3F" w:rsidP="002A5E3F">
      <w:pPr>
        <w:spacing w:after="160" w:line="259" w:lineRule="auto"/>
        <w:rPr>
          <w:b/>
          <w:sz w:val="28"/>
          <w:szCs w:val="28"/>
        </w:rPr>
      </w:pPr>
      <w:r w:rsidRPr="00E04FA2">
        <w:rPr>
          <w:b/>
          <w:sz w:val="28"/>
          <w:szCs w:val="28"/>
        </w:rPr>
        <w:t xml:space="preserve">Rubric for </w:t>
      </w:r>
      <w:r w:rsidR="00176185">
        <w:rPr>
          <w:b/>
          <w:sz w:val="28"/>
          <w:szCs w:val="28"/>
        </w:rPr>
        <w:t>Quantitative Reasoning</w:t>
      </w:r>
      <w:r w:rsidR="00E04FA2">
        <w:rPr>
          <w:b/>
          <w:sz w:val="28"/>
          <w:szCs w:val="28"/>
        </w:rPr>
        <w:t xml:space="preserve"> (</w:t>
      </w:r>
      <w:r w:rsidR="00176185">
        <w:rPr>
          <w:b/>
          <w:sz w:val="28"/>
          <w:szCs w:val="28"/>
        </w:rPr>
        <w:t>GQ</w:t>
      </w:r>
      <w:r w:rsidR="00E04FA2">
        <w:rPr>
          <w:b/>
          <w:sz w:val="28"/>
          <w:szCs w:val="28"/>
        </w:rPr>
        <w:t>)</w:t>
      </w:r>
      <w:r w:rsidRPr="00E04FA2">
        <w:rPr>
          <w:b/>
          <w:sz w:val="28"/>
          <w:szCs w:val="28"/>
        </w:rPr>
        <w:t xml:space="preserve"> courses</w:t>
      </w:r>
    </w:p>
    <w:p w:rsidR="00D8311E" w:rsidRPr="00176185" w:rsidRDefault="00176185" w:rsidP="002A5E3F">
      <w:pPr>
        <w:spacing w:after="160" w:line="259" w:lineRule="auto"/>
        <w:rPr>
          <w:i/>
          <w:color w:val="auto"/>
          <w:shd w:val="clear" w:color="auto" w:fill="FFFFFF"/>
        </w:rPr>
      </w:pPr>
      <w:r w:rsidRPr="00176185">
        <w:rPr>
          <w:i/>
          <w:color w:val="auto"/>
          <w:shd w:val="clear" w:color="auto" w:fill="FFFFFF"/>
        </w:rPr>
        <w:t>Courses in this area will enhance students' quantitative reasoning skills, including their capacity to explain, interpret, evaluate, and communicate quantitative information. Students will learn to use models or algorithms to solve problems, and will apply quantitative concepts to real-world situations. These skills may be drawn from mathematics and computational strategies, but may extend to logic, statistics, and inductive or deductive reasoning. </w:t>
      </w:r>
    </w:p>
    <w:p w:rsidR="00176185" w:rsidRPr="00176185" w:rsidRDefault="00176185" w:rsidP="002A5E3F">
      <w:pPr>
        <w:spacing w:after="160" w:line="259" w:lineRule="auto"/>
        <w:rPr>
          <w:rFonts w:asciiTheme="minorHAnsi" w:hAnsiTheme="minorHAnsi"/>
          <w:b/>
          <w:i/>
          <w:color w:val="auto"/>
        </w:rPr>
      </w:pPr>
    </w:p>
    <w:p w:rsidR="002A5E3F" w:rsidRPr="00176185" w:rsidRDefault="002A5E3F" w:rsidP="002A5E3F">
      <w:pPr>
        <w:spacing w:after="160" w:line="259" w:lineRule="auto"/>
        <w:rPr>
          <w:rFonts w:asciiTheme="minorHAnsi" w:hAnsiTheme="minorHAnsi" w:cstheme="minorHAnsi"/>
          <w:b/>
          <w:color w:val="auto"/>
        </w:rPr>
      </w:pPr>
      <w:r w:rsidRPr="00176185">
        <w:rPr>
          <w:rFonts w:asciiTheme="minorHAnsi" w:hAnsiTheme="minorHAnsi"/>
          <w:b/>
          <w:color w:val="auto"/>
        </w:rPr>
        <w:t>Cont</w:t>
      </w:r>
      <w:r w:rsidRPr="00176185">
        <w:rPr>
          <w:rFonts w:asciiTheme="minorHAnsi" w:hAnsiTheme="minorHAnsi" w:cstheme="minorHAnsi"/>
          <w:b/>
          <w:color w:val="auto"/>
        </w:rPr>
        <w:t xml:space="preserve">ent </w:t>
      </w:r>
      <w:r w:rsidR="00BA3DFE" w:rsidRPr="00176185">
        <w:rPr>
          <w:rFonts w:asciiTheme="minorHAnsi" w:hAnsiTheme="minorHAnsi" w:cstheme="minorHAnsi"/>
          <w:b/>
          <w:color w:val="auto"/>
        </w:rPr>
        <w:t xml:space="preserve">aligns well with the requested </w:t>
      </w:r>
      <w:r w:rsidR="0012600A" w:rsidRPr="00176185">
        <w:rPr>
          <w:rFonts w:asciiTheme="minorHAnsi" w:hAnsiTheme="minorHAnsi" w:cstheme="minorHAnsi"/>
          <w:b/>
          <w:color w:val="auto"/>
        </w:rPr>
        <w:t xml:space="preserve">elective </w:t>
      </w:r>
      <w:r w:rsidR="00BA3DFE" w:rsidRPr="00176185">
        <w:rPr>
          <w:rFonts w:asciiTheme="minorHAnsi" w:hAnsiTheme="minorHAnsi" w:cstheme="minorHAnsi"/>
          <w:b/>
          <w:color w:val="auto"/>
        </w:rPr>
        <w:t>category</w:t>
      </w:r>
      <w:r w:rsidR="0012600A" w:rsidRPr="00176185">
        <w:rPr>
          <w:rFonts w:asciiTheme="minorHAnsi" w:hAnsiTheme="minorHAnsi" w:cstheme="minorHAnsi"/>
          <w:b/>
          <w:color w:val="auto"/>
        </w:rPr>
        <w:t xml:space="preserve"> </w:t>
      </w:r>
      <w:r w:rsidR="00BA3DFE" w:rsidRPr="00176185">
        <w:rPr>
          <w:rFonts w:asciiTheme="minorHAnsi" w:hAnsiTheme="minorHAnsi" w:cstheme="minorHAnsi"/>
          <w:b/>
          <w:color w:val="auto"/>
        </w:rPr>
        <w:tab/>
      </w:r>
      <w:r w:rsidR="00BA3DFE" w:rsidRPr="00176185">
        <w:rPr>
          <w:rFonts w:asciiTheme="minorHAnsi" w:hAnsiTheme="minorHAnsi" w:cstheme="minorHAnsi"/>
          <w:b/>
          <w:color w:val="auto"/>
        </w:rPr>
        <w:tab/>
      </w:r>
      <w:r w:rsidR="00BA3DFE" w:rsidRPr="00176185">
        <w:rPr>
          <w:rFonts w:asciiTheme="minorHAnsi" w:hAnsiTheme="minorHAnsi" w:cstheme="minorHAnsi"/>
          <w:b/>
          <w:color w:val="auto"/>
        </w:rPr>
        <w:tab/>
      </w:r>
      <w:r w:rsidR="00BA3DFE" w:rsidRPr="00176185">
        <w:rPr>
          <w:rFonts w:asciiTheme="minorHAnsi" w:hAnsiTheme="minorHAnsi" w:cstheme="minorHAnsi"/>
          <w:b/>
          <w:color w:val="auto"/>
        </w:rPr>
        <w:tab/>
      </w:r>
      <w:r w:rsidR="0012600A" w:rsidRPr="00176185">
        <w:rPr>
          <w:rFonts w:asciiTheme="minorHAnsi" w:hAnsiTheme="minorHAnsi" w:cstheme="minorHAnsi"/>
          <w:b/>
          <w:color w:val="auto"/>
        </w:rPr>
        <w:t>Yes __</w:t>
      </w:r>
      <w:r w:rsidR="0012600A" w:rsidRPr="00176185">
        <w:rPr>
          <w:rFonts w:asciiTheme="minorHAnsi" w:hAnsiTheme="minorHAnsi" w:cstheme="minorHAnsi"/>
          <w:b/>
          <w:color w:val="auto"/>
        </w:rPr>
        <w:tab/>
        <w:t xml:space="preserve">   No __</w:t>
      </w:r>
      <w:r w:rsidR="00BA3DFE" w:rsidRPr="00176185">
        <w:rPr>
          <w:rFonts w:asciiTheme="minorHAnsi" w:hAnsiTheme="minorHAnsi" w:cstheme="minorHAnsi"/>
          <w:b/>
          <w:color w:val="auto"/>
        </w:rPr>
        <w:tab/>
      </w:r>
    </w:p>
    <w:p w:rsidR="002A5E3F" w:rsidRPr="00176185" w:rsidRDefault="008B14BB" w:rsidP="00176185">
      <w:pPr>
        <w:pStyle w:val="ListParagraph"/>
        <w:numPr>
          <w:ilvl w:val="0"/>
          <w:numId w:val="7"/>
        </w:numPr>
        <w:spacing w:after="160" w:line="259" w:lineRule="auto"/>
        <w:rPr>
          <w:rFonts w:asciiTheme="minorHAnsi" w:hAnsiTheme="minorHAnsi" w:cstheme="minorHAnsi"/>
          <w:color w:val="auto"/>
        </w:rPr>
      </w:pPr>
      <w:r>
        <w:rPr>
          <w:rFonts w:asciiTheme="minorHAnsi" w:hAnsiTheme="minorHAnsi" w:cstheme="minorHAnsi"/>
          <w:color w:val="auto"/>
          <w:shd w:val="clear" w:color="auto" w:fill="FFFFFF"/>
        </w:rPr>
        <w:t>E</w:t>
      </w:r>
      <w:r w:rsidR="00176185" w:rsidRPr="00176185">
        <w:rPr>
          <w:rFonts w:asciiTheme="minorHAnsi" w:hAnsiTheme="minorHAnsi" w:cstheme="minorHAnsi"/>
          <w:color w:val="auto"/>
          <w:shd w:val="clear" w:color="auto" w:fill="FFFFFF"/>
        </w:rPr>
        <w:t>nhance students' quantitative reasoning skills, including their capacity to explain, interpret, evaluate, and communicate quantitative information.</w:t>
      </w:r>
    </w:p>
    <w:p w:rsidR="00176185" w:rsidRPr="00176185" w:rsidRDefault="00176185" w:rsidP="00176185">
      <w:pPr>
        <w:pStyle w:val="ListParagraph"/>
        <w:numPr>
          <w:ilvl w:val="0"/>
          <w:numId w:val="7"/>
        </w:numPr>
        <w:spacing w:after="160" w:line="259" w:lineRule="auto"/>
        <w:rPr>
          <w:rFonts w:asciiTheme="minorHAnsi" w:hAnsiTheme="minorHAnsi" w:cstheme="minorHAnsi"/>
          <w:color w:val="auto"/>
        </w:rPr>
      </w:pPr>
      <w:r w:rsidRPr="00176185">
        <w:rPr>
          <w:rFonts w:asciiTheme="minorHAnsi" w:hAnsiTheme="minorHAnsi" w:cstheme="minorHAnsi"/>
          <w:color w:val="auto"/>
          <w:shd w:val="clear" w:color="auto" w:fill="FFFFFF"/>
        </w:rPr>
        <w:t xml:space="preserve">Students </w:t>
      </w:r>
      <w:r w:rsidR="008B14BB">
        <w:rPr>
          <w:rFonts w:asciiTheme="minorHAnsi" w:hAnsiTheme="minorHAnsi" w:cstheme="minorHAnsi"/>
          <w:color w:val="auto"/>
          <w:shd w:val="clear" w:color="auto" w:fill="FFFFFF"/>
        </w:rPr>
        <w:t>have opportunities</w:t>
      </w:r>
      <w:r w:rsidRPr="00176185">
        <w:rPr>
          <w:rFonts w:asciiTheme="minorHAnsi" w:hAnsiTheme="minorHAnsi" w:cstheme="minorHAnsi"/>
          <w:color w:val="auto"/>
          <w:shd w:val="clear" w:color="auto" w:fill="FFFFFF"/>
        </w:rPr>
        <w:t xml:space="preserve"> to use models or algorithms to solve problems, and will apply quantitative concepts to real-world situations.</w:t>
      </w:r>
    </w:p>
    <w:p w:rsidR="00176185" w:rsidRPr="00176185" w:rsidRDefault="008B14BB" w:rsidP="00176185">
      <w:pPr>
        <w:pStyle w:val="ListParagraph"/>
        <w:numPr>
          <w:ilvl w:val="0"/>
          <w:numId w:val="7"/>
        </w:numPr>
        <w:spacing w:after="160" w:line="259" w:lineRule="auto"/>
        <w:rPr>
          <w:rFonts w:asciiTheme="minorHAnsi" w:hAnsiTheme="minorHAnsi" w:cstheme="minorHAnsi"/>
          <w:color w:val="auto"/>
        </w:rPr>
      </w:pPr>
      <w:r>
        <w:rPr>
          <w:rFonts w:asciiTheme="minorHAnsi" w:hAnsiTheme="minorHAnsi" w:cstheme="minorHAnsi"/>
          <w:color w:val="auto"/>
          <w:shd w:val="clear" w:color="auto" w:fill="FFFFFF"/>
        </w:rPr>
        <w:t>S</w:t>
      </w:r>
      <w:r w:rsidR="00176185" w:rsidRPr="00176185">
        <w:rPr>
          <w:rFonts w:asciiTheme="minorHAnsi" w:hAnsiTheme="minorHAnsi" w:cstheme="minorHAnsi"/>
          <w:color w:val="auto"/>
          <w:shd w:val="clear" w:color="auto" w:fill="FFFFFF"/>
        </w:rPr>
        <w:t>kills may be drawn from mathematics and computational strategies, but may extend to logic, statistics, and inductive or deductive reasoning. </w:t>
      </w:r>
    </w:p>
    <w:p w:rsidR="002A5E3F" w:rsidRPr="00D040EE" w:rsidRDefault="0012600A" w:rsidP="002A5E3F">
      <w:pPr>
        <w:spacing w:after="16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2A5E3F">
      <w:pPr>
        <w:spacing w:after="160" w:line="259" w:lineRule="auto"/>
        <w:rPr>
          <w:rFonts w:asciiTheme="minorHAnsi" w:hAnsiTheme="minorHAnsi"/>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2A5E3F">
      <w:pPr>
        <w:spacing w:after="160" w:line="259" w:lineRule="auto"/>
        <w:ind w:left="360"/>
        <w:rPr>
          <w:rFonts w:asciiTheme="minorHAnsi" w:hAnsiTheme="minorHAnsi"/>
          <w:b/>
        </w:rPr>
      </w:pPr>
    </w:p>
    <w:p w:rsidR="00D040EE" w:rsidRPr="0012600A" w:rsidRDefault="002A5E3F" w:rsidP="0012600A">
      <w:pPr>
        <w:spacing w:after="16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r w:rsidRPr="008B14BB">
        <w:rPr>
          <w:rFonts w:asciiTheme="minorHAnsi" w:hAnsiTheme="minorHAnsi"/>
          <w:sz w:val="22"/>
          <w:szCs w:val="22"/>
        </w:rPr>
        <w:t>elective categories</w:t>
      </w:r>
      <w:bookmarkStart w:id="0" w:name="_GoBack"/>
      <w:bookmarkEnd w:id="0"/>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2A5E3F" w:rsidRDefault="002A5E3F" w:rsidP="00D040EE">
      <w:pPr>
        <w:spacing w:after="160" w:line="259" w:lineRule="auto"/>
      </w:pPr>
    </w:p>
    <w:p w:rsidR="00D8311E" w:rsidRPr="00D8311E" w:rsidRDefault="00D8311E"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D8311E" w:rsidRPr="00D831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35" w:rsidRDefault="00AE5D35" w:rsidP="00226FB1">
      <w:pPr>
        <w:spacing w:line="240" w:lineRule="auto"/>
      </w:pPr>
      <w:r>
        <w:separator/>
      </w:r>
    </w:p>
  </w:endnote>
  <w:endnote w:type="continuationSeparator" w:id="0">
    <w:p w:rsidR="00AE5D35" w:rsidRDefault="00AE5D35"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35" w:rsidRDefault="00AE5D35" w:rsidP="00226FB1">
      <w:pPr>
        <w:spacing w:line="240" w:lineRule="auto"/>
      </w:pPr>
      <w:r>
        <w:separator/>
      </w:r>
    </w:p>
  </w:footnote>
  <w:footnote w:type="continuationSeparator" w:id="0">
    <w:p w:rsidR="00AE5D35" w:rsidRDefault="00AE5D35"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280"/>
    <w:multiLevelType w:val="hybridMultilevel"/>
    <w:tmpl w:val="4A72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2600A"/>
    <w:rsid w:val="00176185"/>
    <w:rsid w:val="00226FB1"/>
    <w:rsid w:val="002A5E3F"/>
    <w:rsid w:val="00395487"/>
    <w:rsid w:val="00526681"/>
    <w:rsid w:val="005536C4"/>
    <w:rsid w:val="006C4700"/>
    <w:rsid w:val="008B14BB"/>
    <w:rsid w:val="00AE5D35"/>
    <w:rsid w:val="00BA3DFE"/>
    <w:rsid w:val="00D040EE"/>
    <w:rsid w:val="00D8311E"/>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cp:lastPrinted>2018-04-19T15:36:00Z</cp:lastPrinted>
  <dcterms:created xsi:type="dcterms:W3CDTF">2018-05-10T20:15:00Z</dcterms:created>
  <dcterms:modified xsi:type="dcterms:W3CDTF">2018-05-10T20:15:00Z</dcterms:modified>
</cp:coreProperties>
</file>