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Dear colleagues,</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 </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The DBA program is pleased to announce that Scott Dell will be making a final defense of his dissertation on June 21</w:t>
      </w:r>
      <w:r w:rsidRPr="00284BCB">
        <w:rPr>
          <w:rFonts w:ascii="Tahoma" w:eastAsia="Times New Roman" w:hAnsi="Tahoma" w:cs="Tahoma"/>
          <w:color w:val="000000"/>
          <w:sz w:val="20"/>
          <w:szCs w:val="20"/>
          <w:vertAlign w:val="superscript"/>
        </w:rPr>
        <w:t>st</w:t>
      </w:r>
      <w:r w:rsidRPr="00284BCB">
        <w:rPr>
          <w:rFonts w:ascii="Tahoma" w:eastAsia="Times New Roman" w:hAnsi="Tahoma" w:cs="Tahoma"/>
          <w:color w:val="000000"/>
          <w:sz w:val="20"/>
          <w:szCs w:val="20"/>
        </w:rPr>
        <w:t> (Friday) starting at 11am.  The final defense will take place in Hyland 4303. Please do attend if you are on campus. I am pasting the relevant details below.</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 </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Thank you and hope the summer is going well.</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 </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Praveen</w:t>
      </w:r>
    </w:p>
    <w:p w:rsidR="00284BCB" w:rsidRPr="00284BCB" w:rsidRDefault="00284BCB" w:rsidP="00284BCB">
      <w:pPr>
        <w:rPr>
          <w:rFonts w:ascii="Calibri" w:eastAsia="Times New Roman" w:hAnsi="Calibri" w:cs="Calibri"/>
          <w:color w:val="000000"/>
          <w:sz w:val="22"/>
          <w:szCs w:val="22"/>
        </w:rPr>
      </w:pPr>
      <w:r w:rsidRPr="00284BCB">
        <w:rPr>
          <w:rFonts w:ascii="Tahoma" w:eastAsia="Times New Roman" w:hAnsi="Tahoma" w:cs="Tahoma"/>
          <w:color w:val="000000"/>
          <w:sz w:val="20"/>
          <w:szCs w:val="20"/>
        </w:rPr>
        <w:t> </w:t>
      </w:r>
    </w:p>
    <w:p w:rsidR="00284BCB" w:rsidRPr="00284BCB" w:rsidRDefault="00284BCB" w:rsidP="00284BCB">
      <w:pPr>
        <w:spacing w:line="480" w:lineRule="atLeast"/>
        <w:ind w:firstLine="720"/>
        <w:jc w:val="center"/>
        <w:outlineLvl w:val="0"/>
        <w:rPr>
          <w:rFonts w:ascii="Times New Roman" w:eastAsia="Times New Roman" w:hAnsi="Times New Roman" w:cs="Times New Roman"/>
          <w:color w:val="000000"/>
          <w:kern w:val="36"/>
        </w:rPr>
      </w:pPr>
      <w:bookmarkStart w:id="0" w:name="_Toc10138879"/>
      <w:r w:rsidRPr="00284BCB">
        <w:rPr>
          <w:rFonts w:ascii="Times New Roman" w:eastAsia="Times New Roman" w:hAnsi="Times New Roman" w:cs="Times New Roman"/>
          <w:color w:val="000000"/>
          <w:kern w:val="36"/>
        </w:rPr>
        <w:t>ABSTRACT</w:t>
      </w:r>
      <w:bookmarkEnd w:id="0"/>
    </w:p>
    <w:p w:rsidR="00284BCB" w:rsidRPr="00284BCB" w:rsidRDefault="00284BCB" w:rsidP="00284BCB">
      <w:pPr>
        <w:spacing w:before="100" w:beforeAutospacing="1"/>
        <w:ind w:left="2663" w:right="2661"/>
        <w:jc w:val="center"/>
        <w:rPr>
          <w:rFonts w:ascii="-webkit-standard" w:eastAsia="Times New Roman" w:hAnsi="-webkit-standard" w:cs="Times New Roman"/>
          <w:color w:val="000000"/>
        </w:rPr>
      </w:pPr>
      <w:r w:rsidRPr="00284BCB">
        <w:rPr>
          <w:rFonts w:ascii="-webkit-standard" w:eastAsia="Times New Roman" w:hAnsi="-webkit-standard" w:cs="Times New Roman"/>
          <w:color w:val="000000"/>
          <w:spacing w:val="-1"/>
        </w:rPr>
        <w:t>D</w:t>
      </w:r>
      <w:r w:rsidRPr="00284BCB">
        <w:rPr>
          <w:rFonts w:ascii="-webkit-standard" w:eastAsia="Times New Roman" w:hAnsi="-webkit-standard" w:cs="Times New Roman"/>
          <w:color w:val="000000"/>
        </w:rPr>
        <w:t xml:space="preserve">r. </w:t>
      </w:r>
      <w:proofErr w:type="spellStart"/>
      <w:r w:rsidRPr="00284BCB">
        <w:rPr>
          <w:rFonts w:ascii="-webkit-standard" w:eastAsia="Times New Roman" w:hAnsi="-webkit-standard" w:cs="Times New Roman"/>
          <w:color w:val="000000"/>
        </w:rPr>
        <w:t>Avishek</w:t>
      </w:r>
      <w:proofErr w:type="spellEnd"/>
      <w:r w:rsidRPr="00284BCB">
        <w:rPr>
          <w:rFonts w:ascii="-webkit-standard" w:eastAsia="Times New Roman" w:hAnsi="-webkit-standard" w:cs="Times New Roman"/>
          <w:color w:val="000000"/>
        </w:rPr>
        <w:t xml:space="preserve"> Bhandari</w:t>
      </w:r>
    </w:p>
    <w:p w:rsidR="00284BCB" w:rsidRPr="00284BCB" w:rsidRDefault="00284BCB" w:rsidP="00284BCB">
      <w:pPr>
        <w:spacing w:before="100" w:beforeAutospacing="1"/>
        <w:ind w:left="2663" w:right="2661"/>
        <w:jc w:val="center"/>
        <w:rPr>
          <w:rFonts w:ascii="-webkit-standard" w:eastAsia="Times New Roman" w:hAnsi="-webkit-standard" w:cs="Times New Roman"/>
          <w:color w:val="000000"/>
        </w:rPr>
      </w:pPr>
      <w:r w:rsidRPr="00284BCB">
        <w:rPr>
          <w:rFonts w:ascii="-webkit-standard" w:eastAsia="Times New Roman" w:hAnsi="-webkit-standard" w:cs="Times New Roman"/>
          <w:color w:val="000000"/>
        </w:rPr>
        <w:t>Dr. Maxwell K. Hsu</w:t>
      </w:r>
    </w:p>
    <w:p w:rsidR="00284BCB" w:rsidRPr="00284BCB" w:rsidRDefault="00284BCB" w:rsidP="00284BCB">
      <w:pPr>
        <w:spacing w:before="100" w:beforeAutospacing="1"/>
        <w:ind w:left="2663" w:right="2661"/>
        <w:jc w:val="center"/>
        <w:rPr>
          <w:rFonts w:ascii="-webkit-standard" w:eastAsia="Times New Roman" w:hAnsi="-webkit-standard" w:cs="Times New Roman"/>
          <w:color w:val="000000"/>
        </w:rPr>
      </w:pPr>
      <w:r w:rsidRPr="00284BCB">
        <w:rPr>
          <w:rFonts w:ascii="-webkit-standard" w:eastAsia="Times New Roman" w:hAnsi="-webkit-standard" w:cs="Times New Roman"/>
          <w:color w:val="000000"/>
          <w:spacing w:val="-1"/>
        </w:rPr>
        <w:t>D</w:t>
      </w:r>
      <w:r w:rsidRPr="00284BCB">
        <w:rPr>
          <w:rFonts w:ascii="-webkit-standard" w:eastAsia="Times New Roman" w:hAnsi="-webkit-standard" w:cs="Times New Roman"/>
          <w:color w:val="000000"/>
        </w:rPr>
        <w:t>i</w:t>
      </w:r>
      <w:r w:rsidRPr="00284BCB">
        <w:rPr>
          <w:rFonts w:ascii="-webkit-standard" w:eastAsia="Times New Roman" w:hAnsi="-webkit-standard" w:cs="Times New Roman"/>
          <w:color w:val="000000"/>
          <w:spacing w:val="-1"/>
        </w:rPr>
        <w:t>ss</w:t>
      </w:r>
      <w:r w:rsidRPr="00284BCB">
        <w:rPr>
          <w:rFonts w:ascii="-webkit-standard" w:eastAsia="Times New Roman" w:hAnsi="-webkit-standard" w:cs="Times New Roman"/>
          <w:color w:val="000000"/>
        </w:rPr>
        <w:t>e</w:t>
      </w:r>
      <w:r w:rsidRPr="00284BCB">
        <w:rPr>
          <w:rFonts w:ascii="-webkit-standard" w:eastAsia="Times New Roman" w:hAnsi="-webkit-standard" w:cs="Times New Roman"/>
          <w:color w:val="000000"/>
          <w:spacing w:val="-3"/>
        </w:rPr>
        <w:t>r</w:t>
      </w:r>
      <w:r w:rsidRPr="00284BCB">
        <w:rPr>
          <w:rFonts w:ascii="-webkit-standard" w:eastAsia="Times New Roman" w:hAnsi="-webkit-standard" w:cs="Times New Roman"/>
          <w:color w:val="000000"/>
          <w:spacing w:val="-2"/>
        </w:rPr>
        <w:t>t</w:t>
      </w:r>
      <w:r w:rsidRPr="00284BCB">
        <w:rPr>
          <w:rFonts w:ascii="-webkit-standard" w:eastAsia="Times New Roman" w:hAnsi="-webkit-standard" w:cs="Times New Roman"/>
          <w:color w:val="000000"/>
        </w:rPr>
        <w:t>ation Co-</w:t>
      </w:r>
      <w:r w:rsidRPr="00284BCB">
        <w:rPr>
          <w:rFonts w:ascii="-webkit-standard" w:eastAsia="Times New Roman" w:hAnsi="-webkit-standard" w:cs="Times New Roman"/>
          <w:color w:val="000000"/>
          <w:spacing w:val="-3"/>
        </w:rPr>
        <w:t>C</w:t>
      </w:r>
      <w:r w:rsidRPr="00284BCB">
        <w:rPr>
          <w:rFonts w:ascii="-webkit-standard" w:eastAsia="Times New Roman" w:hAnsi="-webkit-standard" w:cs="Times New Roman"/>
          <w:color w:val="000000"/>
        </w:rPr>
        <w:t>hairs</w:t>
      </w:r>
    </w:p>
    <w:p w:rsidR="00284BCB" w:rsidRPr="00284BCB" w:rsidRDefault="00284BCB" w:rsidP="00284BCB">
      <w:pPr>
        <w:rPr>
          <w:rFonts w:ascii="Calibri" w:eastAsia="Times New Roman" w:hAnsi="Calibri" w:cs="Calibri"/>
          <w:color w:val="000000"/>
          <w:sz w:val="22"/>
          <w:szCs w:val="22"/>
        </w:rPr>
      </w:pPr>
      <w:r w:rsidRPr="00284BCB">
        <w:rPr>
          <w:rFonts w:ascii="Calibri" w:eastAsia="Times New Roman" w:hAnsi="Calibri" w:cs="Calibri"/>
          <w:color w:val="000000"/>
          <w:sz w:val="22"/>
          <w:szCs w:val="22"/>
        </w:rPr>
        <w:t> </w:t>
      </w:r>
    </w:p>
    <w:p w:rsidR="00284BCB" w:rsidRPr="00284BCB" w:rsidRDefault="00284BCB" w:rsidP="00284BCB">
      <w:pPr>
        <w:ind w:left="360" w:firstLine="720"/>
        <w:rPr>
          <w:rFonts w:ascii="Calibri" w:eastAsia="Times New Roman" w:hAnsi="Calibri" w:cs="Calibri"/>
          <w:color w:val="000000"/>
          <w:sz w:val="22"/>
          <w:szCs w:val="22"/>
        </w:rPr>
      </w:pPr>
      <w:r w:rsidRPr="00284BCB">
        <w:rPr>
          <w:rFonts w:ascii="Calibri" w:eastAsia="Times New Roman" w:hAnsi="Calibri" w:cs="Calibri"/>
          <w:color w:val="000000"/>
          <w:sz w:val="22"/>
          <w:szCs w:val="22"/>
        </w:rPr>
        <w:t xml:space="preserve">Nonprofits have a significant impact on the world around us. They provide services for the common good and are having an increasing influence on the economy over time (Bureau of Labor Statistics, 2014; McKeever &amp; </w:t>
      </w:r>
      <w:proofErr w:type="spellStart"/>
      <w:r w:rsidRPr="00284BCB">
        <w:rPr>
          <w:rFonts w:ascii="Calibri" w:eastAsia="Times New Roman" w:hAnsi="Calibri" w:cs="Calibri"/>
          <w:color w:val="000000"/>
          <w:sz w:val="22"/>
          <w:szCs w:val="22"/>
        </w:rPr>
        <w:t>Gatty</w:t>
      </w:r>
      <w:proofErr w:type="spellEnd"/>
      <w:r w:rsidRPr="00284BCB">
        <w:rPr>
          <w:rFonts w:ascii="Calibri" w:eastAsia="Times New Roman" w:hAnsi="Calibri" w:cs="Calibri"/>
          <w:color w:val="000000"/>
          <w:sz w:val="22"/>
          <w:szCs w:val="22"/>
        </w:rPr>
        <w:t>, 2016; National Center for Charitable Statistics, 2018). </w:t>
      </w:r>
      <w:bookmarkStart w:id="1" w:name="_Hlk531583262"/>
      <w:r w:rsidRPr="00284BCB">
        <w:rPr>
          <w:rFonts w:ascii="Calibri" w:eastAsia="Times New Roman" w:hAnsi="Calibri" w:cs="Calibri"/>
          <w:color w:val="000000"/>
          <w:sz w:val="22"/>
          <w:szCs w:val="22"/>
        </w:rPr>
        <w:t>There is a consensus among prior studies (Chen et al., 2010; </w:t>
      </w:r>
      <w:r w:rsidRPr="00284BCB">
        <w:rPr>
          <w:rFonts w:ascii="Calibri" w:eastAsia="Times New Roman" w:hAnsi="Calibri" w:cs="Calibri"/>
          <w:i/>
          <w:iCs/>
          <w:color w:val="000000"/>
          <w:sz w:val="22"/>
          <w:szCs w:val="22"/>
        </w:rPr>
        <w:t>Coles, Daniel, &amp; Naveen, 2008; </w:t>
      </w:r>
      <w:r w:rsidRPr="00284BCB">
        <w:rPr>
          <w:rFonts w:ascii="Calibri" w:eastAsia="Times New Roman" w:hAnsi="Calibri" w:cs="Calibri"/>
          <w:color w:val="000000"/>
          <w:sz w:val="22"/>
          <w:szCs w:val="22"/>
        </w:rPr>
        <w:t>Eisenberg, </w:t>
      </w:r>
      <w:proofErr w:type="spellStart"/>
      <w:r w:rsidRPr="00284BCB">
        <w:rPr>
          <w:rFonts w:ascii="Calibri" w:eastAsia="Times New Roman" w:hAnsi="Calibri" w:cs="Calibri"/>
          <w:i/>
          <w:iCs/>
          <w:color w:val="000000"/>
          <w:sz w:val="22"/>
          <w:szCs w:val="22"/>
        </w:rPr>
        <w:t>Sundgren</w:t>
      </w:r>
      <w:proofErr w:type="spellEnd"/>
      <w:r w:rsidRPr="00284BCB">
        <w:rPr>
          <w:rFonts w:ascii="Calibri" w:eastAsia="Times New Roman" w:hAnsi="Calibri" w:cs="Calibri"/>
          <w:i/>
          <w:iCs/>
          <w:color w:val="000000"/>
          <w:sz w:val="22"/>
          <w:szCs w:val="22"/>
        </w:rPr>
        <w:t>, &amp; Wells, 1998; Guest, 2009;</w:t>
      </w:r>
      <w:r w:rsidRPr="00284BCB">
        <w:rPr>
          <w:rFonts w:ascii="Calibri" w:eastAsia="Times New Roman" w:hAnsi="Calibri" w:cs="Calibri"/>
          <w:color w:val="000000"/>
          <w:sz w:val="22"/>
          <w:szCs w:val="22"/>
        </w:rPr>
        <w:t xml:space="preserve"> Moyer, Chatfield, &amp; </w:t>
      </w:r>
      <w:proofErr w:type="spellStart"/>
      <w:r w:rsidRPr="00284BCB">
        <w:rPr>
          <w:rFonts w:ascii="Calibri" w:eastAsia="Times New Roman" w:hAnsi="Calibri" w:cs="Calibri"/>
          <w:color w:val="000000"/>
          <w:sz w:val="22"/>
          <w:szCs w:val="22"/>
        </w:rPr>
        <w:t>Sisneros</w:t>
      </w:r>
      <w:proofErr w:type="spellEnd"/>
      <w:r w:rsidRPr="00284BCB">
        <w:rPr>
          <w:rFonts w:ascii="Calibri" w:eastAsia="Times New Roman" w:hAnsi="Calibri" w:cs="Calibri"/>
          <w:color w:val="000000"/>
          <w:sz w:val="22"/>
          <w:szCs w:val="22"/>
        </w:rPr>
        <w:t>, 1989</w:t>
      </w:r>
      <w:r w:rsidRPr="00284BCB">
        <w:rPr>
          <w:rFonts w:ascii="Calibri" w:eastAsia="Times New Roman" w:hAnsi="Calibri" w:cs="Calibri"/>
          <w:i/>
          <w:iCs/>
          <w:color w:val="000000"/>
          <w:sz w:val="22"/>
          <w:szCs w:val="22"/>
        </w:rPr>
        <w:t>) </w:t>
      </w:r>
      <w:r w:rsidRPr="00284BCB">
        <w:rPr>
          <w:rFonts w:ascii="Calibri" w:eastAsia="Times New Roman" w:hAnsi="Calibri" w:cs="Calibri"/>
          <w:color w:val="000000"/>
          <w:sz w:val="22"/>
          <w:szCs w:val="22"/>
        </w:rPr>
        <w:t>that effective corporate governance positively impacts the success and financial health of for-profit entities, including both internal (e.g., board size, number of independent directors) and external (e.g., institutional ownership and numbers of analysts following a firm) governance. </w:t>
      </w:r>
      <w:bookmarkEnd w:id="1"/>
      <w:r w:rsidRPr="00284BCB">
        <w:rPr>
          <w:rFonts w:ascii="Calibri" w:eastAsia="Times New Roman" w:hAnsi="Calibri" w:cs="Calibri"/>
          <w:color w:val="000000"/>
          <w:sz w:val="22"/>
          <w:szCs w:val="22"/>
        </w:rPr>
        <w:t>This research shows that governance factors can also positively influence the success of nonprofits.</w:t>
      </w:r>
    </w:p>
    <w:p w:rsidR="00284BCB" w:rsidRPr="00284BCB" w:rsidRDefault="00284BCB" w:rsidP="00284BCB">
      <w:pPr>
        <w:ind w:left="360" w:firstLine="720"/>
        <w:rPr>
          <w:rFonts w:ascii="Calibri" w:eastAsia="Times New Roman" w:hAnsi="Calibri" w:cs="Calibri"/>
          <w:color w:val="000000"/>
          <w:sz w:val="22"/>
          <w:szCs w:val="22"/>
        </w:rPr>
      </w:pPr>
      <w:r w:rsidRPr="00284BCB">
        <w:rPr>
          <w:rFonts w:ascii="Calibri" w:eastAsia="Times New Roman" w:hAnsi="Calibri" w:cs="Calibri"/>
          <w:color w:val="000000"/>
          <w:sz w:val="22"/>
          <w:szCs w:val="22"/>
        </w:rPr>
        <w:t>This study analyzes the impact of internal governance such as board size, the existence of written policies, and audit performance, as well as external governance factors such as social capital and community religiosity, on nonprofit organizations’ financial health. Nonprofit organizations with stronger governance levels can expect to have better oversight, as they would garner additional attention by community professionals and other interested parties committed to making sure the organization puts its best foot forward in serving the community. Thus, we expect and provide evidence that these factors positively influence a nonprofit organization’s financial health.</w:t>
      </w:r>
    </w:p>
    <w:p w:rsidR="00284BCB" w:rsidRPr="00284BCB" w:rsidRDefault="00284BCB" w:rsidP="00284BCB">
      <w:pPr>
        <w:ind w:left="360" w:firstLine="720"/>
        <w:rPr>
          <w:rFonts w:ascii="Calibri" w:eastAsia="Times New Roman" w:hAnsi="Calibri" w:cs="Calibri"/>
          <w:color w:val="000000"/>
          <w:sz w:val="22"/>
          <w:szCs w:val="22"/>
        </w:rPr>
      </w:pPr>
      <w:r w:rsidRPr="00284BCB">
        <w:rPr>
          <w:rFonts w:ascii="Calibri" w:eastAsia="Times New Roman" w:hAnsi="Calibri" w:cs="Calibri"/>
          <w:color w:val="000000"/>
          <w:sz w:val="22"/>
          <w:szCs w:val="22"/>
        </w:rPr>
        <w:t>Keywords: Board of Directors, Certified Audit, External Audit, External Governance, Financial Analysis, Financial Distress, Financial Health, Financial Viability, Financial Vulnerability, Form 990, Internal Governance, Nonprofit, Ratio Analysis, Religiosity, Single Audit, Social Capital.</w:t>
      </w:r>
    </w:p>
    <w:p w:rsidR="004D4AFC" w:rsidRDefault="00284BCB">
      <w:bookmarkStart w:id="2" w:name="_GoBack"/>
      <w:bookmarkEnd w:id="2"/>
    </w:p>
    <w:sectPr w:rsidR="004D4AFC" w:rsidSect="00B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CB"/>
    <w:rsid w:val="00284BCB"/>
    <w:rsid w:val="00AB284C"/>
    <w:rsid w:val="00B51880"/>
    <w:rsid w:val="00F8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F88272-191C-4849-9EA9-D00D8999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4B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C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84BCB"/>
  </w:style>
  <w:style w:type="paragraph" w:styleId="BodyText">
    <w:name w:val="Body Text"/>
    <w:basedOn w:val="Normal"/>
    <w:link w:val="BodyTextChar"/>
    <w:uiPriority w:val="99"/>
    <w:semiHidden/>
    <w:unhideWhenUsed/>
    <w:rsid w:val="00284BCB"/>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284BCB"/>
    <w:rPr>
      <w:rFonts w:ascii="Times New Roman" w:eastAsia="Times New Roman" w:hAnsi="Times New Roman" w:cs="Times New Roman"/>
    </w:rPr>
  </w:style>
  <w:style w:type="character" w:styleId="Emphasis">
    <w:name w:val="Emphasis"/>
    <w:basedOn w:val="DefaultParagraphFont"/>
    <w:uiPriority w:val="20"/>
    <w:qFormat/>
    <w:rsid w:val="00284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2019-06-06T13:57:00Z</dcterms:created>
  <dcterms:modified xsi:type="dcterms:W3CDTF">2019-06-06T13:57:00Z</dcterms:modified>
</cp:coreProperties>
</file>